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77777777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>Target 1:</w:t>
      </w:r>
    </w:p>
    <w:p w14:paraId="470D3175" w14:textId="57047A89" w:rsidR="00BD0E94" w:rsidRPr="003E4C99" w:rsidRDefault="006035EB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STOCK MARKET DATA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5F201408" w14:textId="79B0FBF2" w:rsidR="0028457C" w:rsidRPr="0028457C" w:rsidRDefault="0028457C" w:rsidP="00B80AE0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6"/>
          <w:szCs w:val="56"/>
          <w:lang w:bidi="ar-SA"/>
        </w:rPr>
      </w:pPr>
      <w:r w:rsidRPr="0028457C">
        <w:rPr>
          <w:rFonts w:cs="Times New Roman"/>
          <w:color w:val="000000"/>
          <w:kern w:val="0"/>
          <w:sz w:val="56"/>
          <w:szCs w:val="56"/>
          <w:lang w:bidi="ar-SA"/>
        </w:rPr>
        <w:t>Use stock data to follow the daily progress of a corporate stock.</w:t>
      </w:r>
    </w:p>
    <w:p w14:paraId="0864B9FA" w14:textId="77777777" w:rsidR="0028457C" w:rsidRPr="0028457C" w:rsidRDefault="0028457C" w:rsidP="00655ECC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 w:rsidRPr="0028457C">
        <w:rPr>
          <w:rFonts w:cs="Times New Roman"/>
          <w:color w:val="000000"/>
          <w:kern w:val="0"/>
          <w:sz w:val="56"/>
          <w:szCs w:val="56"/>
          <w:lang w:bidi="ar-SA"/>
        </w:rPr>
        <w:t>Writes spreadsheet formula</w:t>
      </w:r>
    </w:p>
    <w:p w14:paraId="35B7C71E" w14:textId="5A367CBF" w:rsidR="0028457C" w:rsidRDefault="0028457C" w:rsidP="00B63B2E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 w:rsidRPr="0028457C">
        <w:rPr>
          <w:rFonts w:cs="Times New Roman"/>
          <w:color w:val="000000"/>
          <w:kern w:val="0"/>
          <w:sz w:val="52"/>
          <w:szCs w:val="52"/>
          <w:lang w:bidi="ar-SA"/>
        </w:rPr>
        <w:t>Interpret, create a stock bar chart, a stock candlestick chart.</w:t>
      </w:r>
    </w:p>
    <w:p w14:paraId="775C9CAD" w14:textId="77777777" w:rsidR="0028457C" w:rsidRPr="0028457C" w:rsidRDefault="0028457C" w:rsidP="0028457C">
      <w:pPr>
        <w:pStyle w:val="ListParagraph"/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</w:p>
    <w:p w14:paraId="6EA8E5CF" w14:textId="3501402B" w:rsidR="003E4C99" w:rsidRDefault="00621012" w:rsidP="006035EB">
      <w:pPr>
        <w:pStyle w:val="Standard"/>
        <w:jc w:val="center"/>
        <w:rPr>
          <w:b/>
        </w:rPr>
      </w:pPr>
      <w:r>
        <w:rPr>
          <w:b/>
        </w:rPr>
        <w:t xml:space="preserve">Unit 1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03011604" w14:textId="774F509E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 xml:space="preserve">Fractions, decimals and </w:t>
      </w:r>
      <w:r w:rsidR="0028457C" w:rsidRPr="0028457C">
        <w:rPr>
          <w:bCs/>
        </w:rPr>
        <w:t>percent</w:t>
      </w:r>
    </w:p>
    <w:p w14:paraId="78C79A90" w14:textId="77FEC9F3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Linear equation</w:t>
      </w:r>
    </w:p>
    <w:p w14:paraId="3E9FFBD3" w14:textId="04965782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Literal equation</w:t>
      </w:r>
    </w:p>
    <w:p w14:paraId="16A7BCD1" w14:textId="75EC4DCA" w:rsidR="006035EB" w:rsidRPr="0028457C" w:rsidRDefault="006035EB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Mean – Arithmetic average</w:t>
      </w:r>
    </w:p>
    <w:p w14:paraId="0571342D" w14:textId="7D49344C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Percent increase, decrease</w:t>
      </w:r>
    </w:p>
    <w:p w14:paraId="7C683168" w14:textId="0698EC34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Ratio and proportion</w:t>
      </w:r>
    </w:p>
    <w:p w14:paraId="6ACB6A0A" w14:textId="5C1FBFFE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Read, interpret and create bar and line graphs</w:t>
      </w:r>
    </w:p>
    <w:p w14:paraId="338E2478" w14:textId="3B22AF7E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Simple moving average</w:t>
      </w:r>
    </w:p>
    <w:p w14:paraId="3CB3459F" w14:textId="0844AFBE" w:rsidR="0028457C" w:rsidRPr="0028457C" w:rsidRDefault="0028457C" w:rsidP="0028457C">
      <w:pPr>
        <w:pStyle w:val="Standard"/>
        <w:numPr>
          <w:ilvl w:val="0"/>
          <w:numId w:val="7"/>
        </w:numPr>
        <w:rPr>
          <w:bCs/>
        </w:rPr>
      </w:pPr>
      <w:r w:rsidRPr="0028457C">
        <w:rPr>
          <w:bCs/>
        </w:rPr>
        <w:t>Spreadsheets and formulas</w:t>
      </w:r>
    </w:p>
    <w:p w14:paraId="00AADB35" w14:textId="77777777" w:rsidR="0028457C" w:rsidRPr="00D67C50" w:rsidRDefault="0028457C" w:rsidP="006035EB">
      <w:pPr>
        <w:pStyle w:val="Standard"/>
        <w:rPr>
          <w:rFonts w:eastAsia="Times New Roman" w:cs="Times New Roman"/>
          <w:kern w:val="0"/>
          <w:lang w:eastAsia="en-US" w:bidi="ar-SA"/>
        </w:rPr>
      </w:pPr>
    </w:p>
    <w:p w14:paraId="01670E15" w14:textId="77777777" w:rsidR="00687A25" w:rsidRDefault="00687A25">
      <w:pPr>
        <w:pStyle w:val="Standard"/>
      </w:pPr>
    </w:p>
    <w:p w14:paraId="47D52D9F" w14:textId="6166874C" w:rsidR="00C026F4" w:rsidRDefault="00C026F4">
      <w:pPr>
        <w:pStyle w:val="Standard"/>
      </w:pPr>
    </w:p>
    <w:p w14:paraId="35615AF5" w14:textId="77777777" w:rsidR="00CD5F52" w:rsidRDefault="00CD5F52">
      <w:pPr>
        <w:pStyle w:val="Standard"/>
      </w:pPr>
    </w:p>
    <w:p w14:paraId="38327144" w14:textId="77777777" w:rsidR="0028457C" w:rsidRDefault="00E0157D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                </w:t>
      </w:r>
    </w:p>
    <w:p w14:paraId="5844101E" w14:textId="36F38B44" w:rsidR="00C026F4" w:rsidRDefault="00E0157D">
      <w:pPr>
        <w:pStyle w:val="Standard"/>
      </w:pPr>
      <w:r>
        <w:rPr>
          <w:bCs/>
          <w:i/>
          <w:iCs/>
        </w:rPr>
        <w:t xml:space="preserve">                                                          </w:t>
      </w:r>
    </w:p>
    <w:p w14:paraId="462B2331" w14:textId="30E0B2C3" w:rsidR="00C026F4" w:rsidRDefault="00C026F4">
      <w:pPr>
        <w:pStyle w:val="Standard"/>
        <w:rPr>
          <w:bCs/>
          <w:i/>
          <w:iCs/>
        </w:rPr>
      </w:pPr>
    </w:p>
    <w:p w14:paraId="37369F4F" w14:textId="77777777" w:rsidR="003E4C99" w:rsidRDefault="003E4C99">
      <w:pPr>
        <w:pStyle w:val="Standard"/>
        <w:rPr>
          <w:bCs/>
          <w:i/>
          <w:iCs/>
        </w:rPr>
      </w:pPr>
    </w:p>
    <w:p w14:paraId="12C63351" w14:textId="77777777" w:rsidR="003F6EE8" w:rsidRDefault="003F6EE8">
      <w:pPr>
        <w:pStyle w:val="Standard"/>
      </w:pPr>
    </w:p>
    <w:p w14:paraId="42D94619" w14:textId="77777777" w:rsidR="003F6EE8" w:rsidRPr="003F6EE8" w:rsidRDefault="003F6EE8" w:rsidP="003F6EE8"/>
    <w:p w14:paraId="581448DD" w14:textId="52681F73" w:rsidR="003F6EE8" w:rsidRDefault="003F6EE8" w:rsidP="003F6EE8">
      <w:r w:rsidRPr="003F6EE8">
        <w:t xml:space="preserve">A business owned by one person is a </w:t>
      </w:r>
      <w:r w:rsidRPr="003F6EE8">
        <w:rPr>
          <w:b/>
          <w:bCs/>
        </w:rPr>
        <w:t>sole proprietorship</w:t>
      </w:r>
      <w:r w:rsidRPr="003F6EE8">
        <w:t>. The</w:t>
      </w:r>
      <w:r>
        <w:t xml:space="preserve"> </w:t>
      </w:r>
      <w:r w:rsidRPr="003F6EE8">
        <w:t>owner, or proprietor, can hire people to help run the business, but these</w:t>
      </w:r>
      <w:r>
        <w:t xml:space="preserve"> </w:t>
      </w:r>
      <w:r w:rsidRPr="003F6EE8">
        <w:t>employees are not owners. The owner is responsible for all expenses, including</w:t>
      </w:r>
      <w:r>
        <w:t xml:space="preserve"> </w:t>
      </w:r>
      <w:r w:rsidRPr="003F6EE8">
        <w:t>labor and raw materials used in manufacturing a product or providing</w:t>
      </w:r>
      <w:r>
        <w:t xml:space="preserve"> </w:t>
      </w:r>
      <w:r w:rsidRPr="003F6EE8">
        <w:t xml:space="preserve">a service. The money left after all expenses are paid is </w:t>
      </w:r>
      <w:r w:rsidRPr="003F6EE8">
        <w:rPr>
          <w:b/>
          <w:bCs/>
        </w:rPr>
        <w:t>profit</w:t>
      </w:r>
      <w:r w:rsidRPr="003F6EE8">
        <w:t xml:space="preserve">. </w:t>
      </w:r>
    </w:p>
    <w:p w14:paraId="684ECF43" w14:textId="48CD75C1" w:rsidR="003F6EE8" w:rsidRPr="003F6EE8" w:rsidRDefault="003F6EE8" w:rsidP="00967032">
      <w:r w:rsidRPr="003F6EE8">
        <w:t>A business that is owned by a group of people, called partners, is a</w:t>
      </w:r>
      <w:r>
        <w:t xml:space="preserve"> </w:t>
      </w:r>
      <w:r w:rsidRPr="00967032">
        <w:rPr>
          <w:b/>
          <w:bCs/>
        </w:rPr>
        <w:t>partnership</w:t>
      </w:r>
      <w:r w:rsidRPr="003F6EE8">
        <w:t>. Partners share the profits and the responsibility for any</w:t>
      </w:r>
      <w:r w:rsidR="00967032">
        <w:t xml:space="preserve"> </w:t>
      </w:r>
      <w:r w:rsidRPr="003F6EE8">
        <w:t xml:space="preserve">losses. The partners are personally liable for any losses. </w:t>
      </w:r>
    </w:p>
    <w:p w14:paraId="40527F67" w14:textId="7B477FE2" w:rsidR="00967032" w:rsidRDefault="003F6EE8" w:rsidP="003F6EE8">
      <w:pPr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  <w:r w:rsidRPr="003F6EE8">
        <w:t>A corporation is a business organization that can be owned by one</w:t>
      </w:r>
      <w:r w:rsidR="00967032">
        <w:t xml:space="preserve"> </w:t>
      </w:r>
      <w:r w:rsidRPr="003F6EE8">
        <w:t>person or a group of people. Each owner who invests money in the corporation</w:t>
      </w:r>
      <w:r w:rsidR="00967032">
        <w:t xml:space="preserve"> </w:t>
      </w:r>
      <w:r w:rsidRPr="003F6EE8">
        <w:t xml:space="preserve">receives </w:t>
      </w:r>
      <w:r w:rsidRPr="00967032">
        <w:rPr>
          <w:b/>
          <w:bCs/>
        </w:rPr>
        <w:t>shares of stock</w:t>
      </w:r>
      <w:r w:rsidRPr="003F6EE8">
        <w:t xml:space="preserve"> in the corporation. The owners are called</w:t>
      </w:r>
      <w:r w:rsidR="00967032">
        <w:t xml:space="preserve"> </w:t>
      </w:r>
      <w:r w:rsidRPr="00967032">
        <w:rPr>
          <w:b/>
          <w:bCs/>
        </w:rPr>
        <w:t>shareholders</w:t>
      </w:r>
      <w:r w:rsidRPr="003F6EE8">
        <w:t>. When anyone can purchase</w:t>
      </w:r>
      <w:r w:rsidR="00967032">
        <w:t xml:space="preserve"> </w:t>
      </w:r>
      <w:r w:rsidRPr="003F6EE8">
        <w:t xml:space="preserve">stock in a corporation, the corporation is a </w:t>
      </w:r>
      <w:r w:rsidRPr="00967032">
        <w:rPr>
          <w:b/>
          <w:bCs/>
        </w:rPr>
        <w:t>public corporation</w:t>
      </w:r>
      <w:r w:rsidRPr="003F6EE8">
        <w:t>.</w:t>
      </w:r>
      <w:r w:rsidR="00967032">
        <w:t xml:space="preserve"> </w:t>
      </w:r>
      <w:r w:rsidRPr="003F6EE8">
        <w:t>You might already be familiar with public corporations, such as NIKE,</w:t>
      </w:r>
      <w:r w:rsidR="00967032">
        <w:t xml:space="preserve"> </w:t>
      </w:r>
      <w:r w:rsidRPr="003F6EE8">
        <w:t>McDonald</w:t>
      </w:r>
      <w:r w:rsidR="00967032">
        <w:t>’s</w:t>
      </w:r>
      <w:r w:rsidRPr="003F6EE8">
        <w:t xml:space="preserve">, </w:t>
      </w:r>
      <w:r w:rsidR="00967032">
        <w:t>Amazon</w:t>
      </w:r>
      <w:r w:rsidRPr="003F6EE8">
        <w:t>, and Apple. The prices of shares of stock in public</w:t>
      </w:r>
      <w:r w:rsidR="00967032">
        <w:t xml:space="preserve"> </w:t>
      </w:r>
      <w:r w:rsidRPr="003F6EE8">
        <w:t>corporations can be found in newspapers, on television business channels,</w:t>
      </w:r>
      <w:r w:rsidR="00967032">
        <w:t xml:space="preserve"> </w:t>
      </w:r>
      <w:r w:rsidRPr="003F6EE8">
        <w:t>and on the Internet</w:t>
      </w:r>
      <w:r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  <w:t>.</w:t>
      </w:r>
      <w:r w:rsidR="00967032"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  <w:t xml:space="preserve"> </w:t>
      </w:r>
    </w:p>
    <w:p w14:paraId="5190A814" w14:textId="77777777" w:rsidR="00967032" w:rsidRDefault="00967032" w:rsidP="003F6EE8">
      <w:pPr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</w:p>
    <w:p w14:paraId="2BABC445" w14:textId="3F5D9962" w:rsidR="00967032" w:rsidRDefault="00967032" w:rsidP="00967032">
      <w:r w:rsidRPr="00967032">
        <w:t>Michelle invests $15,000 in a partnership that has four other partners.</w:t>
      </w:r>
      <w:r>
        <w:t xml:space="preserve"> </w:t>
      </w:r>
      <w:r w:rsidRPr="00967032">
        <w:t>The total investment of all partners is $240,000. What percent of the</w:t>
      </w:r>
      <w:r>
        <w:t xml:space="preserve"> </w:t>
      </w:r>
      <w:r w:rsidRPr="00967032">
        <w:t>business does Michelle own?</w:t>
      </w:r>
    </w:p>
    <w:p w14:paraId="04D21D78" w14:textId="0BC14868" w:rsidR="00967032" w:rsidRDefault="00967032" w:rsidP="00967032"/>
    <w:p w14:paraId="6293B027" w14:textId="2FF34390" w:rsidR="00967032" w:rsidRPr="00967032" w:rsidRDefault="00967032" w:rsidP="00967032">
      <w:r w:rsidRPr="00967032">
        <w:t>Kyle invests $20,000 in a partnership that has five other partners.</w:t>
      </w:r>
      <w:r>
        <w:t xml:space="preserve"> </w:t>
      </w:r>
      <w:r w:rsidRPr="00967032">
        <w:t>The total investment of the partners is $160,000. What percent of the</w:t>
      </w:r>
      <w:r>
        <w:t xml:space="preserve"> </w:t>
      </w:r>
      <w:r w:rsidRPr="00967032">
        <w:t>business is owned by the five other partners?</w:t>
      </w:r>
    </w:p>
    <w:p w14:paraId="35FA103C" w14:textId="77777777" w:rsidR="00967032" w:rsidRDefault="00967032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DEE77DB" w14:textId="5E6C1A7A" w:rsidR="00967032" w:rsidRPr="00967032" w:rsidRDefault="00967032" w:rsidP="00967032">
      <w:r w:rsidRPr="00967032">
        <w:t>The total number of shares of stock in the Bulls Corporation is</w:t>
      </w:r>
      <w:r>
        <w:t xml:space="preserve"> </w:t>
      </w:r>
      <w:r w:rsidRPr="00967032">
        <w:t>650,000. Mike owns 12% of the shares. How many shares of Bulls</w:t>
      </w:r>
      <w:r>
        <w:t xml:space="preserve"> </w:t>
      </w:r>
      <w:r w:rsidRPr="00967032">
        <w:t>Corporation stock does he own?</w:t>
      </w:r>
    </w:p>
    <w:p w14:paraId="16D003E3" w14:textId="77777777" w:rsidR="00967032" w:rsidRDefault="00967032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2601A103" w14:textId="47B07B71" w:rsidR="00967032" w:rsidRPr="00967032" w:rsidRDefault="00967032" w:rsidP="00967032">
      <w:r w:rsidRPr="00967032">
        <w:t>Three partners are investing a total of $900,000 to open a garden</w:t>
      </w:r>
      <w:r>
        <w:t xml:space="preserve"> </w:t>
      </w:r>
      <w:r w:rsidRPr="00967032">
        <w:t>and landscaping store. Their investments are in the ratio 2:3:5.</w:t>
      </w:r>
      <w:r>
        <w:t xml:space="preserve"> </w:t>
      </w:r>
      <w:r w:rsidRPr="00967032">
        <w:t>How much does the partner that invested the least contribute?</w:t>
      </w:r>
    </w:p>
    <w:p w14:paraId="11ED4716" w14:textId="587C67A1" w:rsidR="00967032" w:rsidRDefault="00967032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7A07391" w14:textId="7906E32E" w:rsidR="00967032" w:rsidRPr="00967032" w:rsidRDefault="00967032" w:rsidP="00967032">
      <w:r w:rsidRPr="00967032">
        <w:t>Two partners are starting a wedding planning business. The total</w:t>
      </w:r>
      <w:r>
        <w:t xml:space="preserve"> </w:t>
      </w:r>
      <w:r w:rsidRPr="00967032">
        <w:t>investment is $45,000. Their investments are in the ratio 4:5. How</w:t>
      </w:r>
      <w:r>
        <w:t xml:space="preserve"> </w:t>
      </w:r>
      <w:r w:rsidRPr="00967032">
        <w:t>much does each investor contribute?</w:t>
      </w:r>
    </w:p>
    <w:p w14:paraId="0381B70F" w14:textId="22585CC5" w:rsidR="00967032" w:rsidRDefault="00967032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2EBAC63" w14:textId="050C6289" w:rsidR="00967032" w:rsidRDefault="00967032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472CDEFC" w14:textId="6B5E68EC" w:rsidR="00967032" w:rsidRPr="00967032" w:rsidRDefault="00967032" w:rsidP="00967032">
      <w:r w:rsidRPr="00967032">
        <w:t>Stock market is a general term for an institution through which stocks</w:t>
      </w:r>
      <w:r>
        <w:t xml:space="preserve"> </w:t>
      </w:r>
      <w:r w:rsidRPr="00967032">
        <w:t>are bought and sold. Stock market transactions are known as trades. The</w:t>
      </w:r>
      <w:r>
        <w:t xml:space="preserve"> </w:t>
      </w:r>
      <w:r w:rsidRPr="00967032">
        <w:t xml:space="preserve">two most </w:t>
      </w:r>
      <w:proofErr w:type="spellStart"/>
      <w:proofErr w:type="gramStart"/>
      <w:r w:rsidRPr="00967032">
        <w:t>well known</w:t>
      </w:r>
      <w:proofErr w:type="spellEnd"/>
      <w:proofErr w:type="gramEnd"/>
      <w:r w:rsidRPr="00967032">
        <w:t xml:space="preserve"> stock markets are the New York Stock Exchange</w:t>
      </w:r>
      <w:r>
        <w:t xml:space="preserve"> </w:t>
      </w:r>
      <w:r w:rsidRPr="00967032">
        <w:t>(NYSE) and the National Association of Securities Dealers</w:t>
      </w:r>
      <w:r>
        <w:t xml:space="preserve"> </w:t>
      </w:r>
      <w:r w:rsidRPr="00967032">
        <w:t>Automated Quotation System (NASDAQ).</w:t>
      </w:r>
    </w:p>
    <w:p w14:paraId="5E12F3D3" w14:textId="1FEC1B4D" w:rsidR="00967032" w:rsidRDefault="00967032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0D0AC19F" w14:textId="5572EE89" w:rsidR="00967032" w:rsidRDefault="00967032" w:rsidP="00967032">
      <w:r w:rsidRPr="00967032">
        <w:t>In order to interpret stock market data, you need to know the</w:t>
      </w:r>
      <w:r>
        <w:t xml:space="preserve"> </w:t>
      </w:r>
      <w:r w:rsidRPr="00967032">
        <w:t>meaning of the categories used in stock market international charts.</w:t>
      </w:r>
      <w:r>
        <w:t xml:space="preserve">  (You google for the following term)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967032" w14:paraId="75BFD77F" w14:textId="77777777" w:rsidTr="00967032">
        <w:tc>
          <w:tcPr>
            <w:tcW w:w="1992" w:type="dxa"/>
          </w:tcPr>
          <w:p w14:paraId="35EE1BBF" w14:textId="77777777" w:rsidR="00967032" w:rsidRDefault="00967032" w:rsidP="00967032">
            <w:r>
              <w:t>Last:</w:t>
            </w:r>
          </w:p>
          <w:p w14:paraId="6899E3C2" w14:textId="77777777" w:rsidR="00967032" w:rsidRDefault="00967032" w:rsidP="00967032"/>
          <w:p w14:paraId="5003B366" w14:textId="0AAB4C47" w:rsidR="00967032" w:rsidRDefault="00967032" w:rsidP="00967032"/>
        </w:tc>
        <w:tc>
          <w:tcPr>
            <w:tcW w:w="1992" w:type="dxa"/>
          </w:tcPr>
          <w:p w14:paraId="39063E93" w14:textId="6D7DC9E7" w:rsidR="00967032" w:rsidRDefault="00337DD0" w:rsidP="00967032">
            <w:r>
              <w:t>Close</w:t>
            </w:r>
          </w:p>
        </w:tc>
        <w:tc>
          <w:tcPr>
            <w:tcW w:w="1992" w:type="dxa"/>
          </w:tcPr>
          <w:p w14:paraId="3F9B642B" w14:textId="6AF39534" w:rsidR="00967032" w:rsidRDefault="00337DD0" w:rsidP="00967032">
            <w:r>
              <w:t>High</w:t>
            </w:r>
          </w:p>
        </w:tc>
        <w:tc>
          <w:tcPr>
            <w:tcW w:w="1993" w:type="dxa"/>
          </w:tcPr>
          <w:p w14:paraId="475EAC7F" w14:textId="2E0A6F5C" w:rsidR="00967032" w:rsidRDefault="00337DD0" w:rsidP="00967032">
            <w:r>
              <w:t>Low</w:t>
            </w:r>
          </w:p>
        </w:tc>
        <w:tc>
          <w:tcPr>
            <w:tcW w:w="1993" w:type="dxa"/>
          </w:tcPr>
          <w:p w14:paraId="160C6D0A" w14:textId="4F940397" w:rsidR="00967032" w:rsidRDefault="00337DD0" w:rsidP="00967032">
            <w:r>
              <w:t>Volume</w:t>
            </w:r>
          </w:p>
        </w:tc>
      </w:tr>
      <w:tr w:rsidR="00967032" w14:paraId="7D875D10" w14:textId="77777777" w:rsidTr="00967032">
        <w:tc>
          <w:tcPr>
            <w:tcW w:w="1992" w:type="dxa"/>
          </w:tcPr>
          <w:p w14:paraId="6307AC82" w14:textId="77777777" w:rsidR="00967032" w:rsidRDefault="00337DD0" w:rsidP="00967032">
            <w:r>
              <w:t>52-week high</w:t>
            </w:r>
          </w:p>
          <w:p w14:paraId="0442AA43" w14:textId="77777777" w:rsidR="00337DD0" w:rsidRDefault="00337DD0" w:rsidP="00967032"/>
          <w:p w14:paraId="5BBB0C2F" w14:textId="3871E3F3" w:rsidR="00337DD0" w:rsidRDefault="00337DD0" w:rsidP="00967032"/>
        </w:tc>
        <w:tc>
          <w:tcPr>
            <w:tcW w:w="1992" w:type="dxa"/>
          </w:tcPr>
          <w:p w14:paraId="31CF5A64" w14:textId="5570804D" w:rsidR="00967032" w:rsidRDefault="00337DD0" w:rsidP="00967032">
            <w:r>
              <w:t>52-week low</w:t>
            </w:r>
          </w:p>
        </w:tc>
        <w:tc>
          <w:tcPr>
            <w:tcW w:w="1992" w:type="dxa"/>
          </w:tcPr>
          <w:p w14:paraId="7ACB76B5" w14:textId="449E7FF5" w:rsidR="00967032" w:rsidRDefault="00337DD0" w:rsidP="00967032">
            <w:proofErr w:type="spellStart"/>
            <w:r>
              <w:t>Chg</w:t>
            </w:r>
            <w:proofErr w:type="spellEnd"/>
            <w:r>
              <w:t xml:space="preserve"> or net change</w:t>
            </w:r>
          </w:p>
        </w:tc>
        <w:tc>
          <w:tcPr>
            <w:tcW w:w="1993" w:type="dxa"/>
          </w:tcPr>
          <w:p w14:paraId="6A95E96C" w14:textId="5399C941" w:rsidR="00967032" w:rsidRDefault="00337DD0" w:rsidP="00967032">
            <w:r>
              <w:t>After-hour trading</w:t>
            </w:r>
          </w:p>
        </w:tc>
        <w:tc>
          <w:tcPr>
            <w:tcW w:w="1993" w:type="dxa"/>
          </w:tcPr>
          <w:p w14:paraId="1428D530" w14:textId="77777777" w:rsidR="00967032" w:rsidRDefault="00967032" w:rsidP="00967032"/>
        </w:tc>
      </w:tr>
    </w:tbl>
    <w:p w14:paraId="3535E565" w14:textId="77777777" w:rsidR="00967032" w:rsidRDefault="00967032" w:rsidP="00967032"/>
    <w:p w14:paraId="65B8B07A" w14:textId="7957220A" w:rsidR="00967032" w:rsidRDefault="00967032" w:rsidP="00967032"/>
    <w:p w14:paraId="1EC1E527" w14:textId="77777777" w:rsidR="00967032" w:rsidRPr="00967032" w:rsidRDefault="00967032" w:rsidP="00967032"/>
    <w:p w14:paraId="65478D80" w14:textId="259CD94B" w:rsidR="00967032" w:rsidRDefault="00337DD0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  <w:r w:rsidRPr="00337DD0">
        <w:rPr>
          <w:noProof/>
        </w:rPr>
        <w:lastRenderedPageBreak/>
        <w:drawing>
          <wp:inline distT="0" distB="0" distL="0" distR="0" wp14:anchorId="616D5505" wp14:editId="5EA76743">
            <wp:extent cx="5374829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10" cy="245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660B9" w14:textId="5731704C" w:rsidR="00337DD0" w:rsidRDefault="00337DD0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EADF039" w14:textId="24BF3238" w:rsidR="00337DD0" w:rsidRPr="00337DD0" w:rsidRDefault="00337DD0" w:rsidP="00337DD0">
      <w:r w:rsidRPr="00337DD0">
        <w:t>What was the difference between the high and the low prices on May 5?</w:t>
      </w:r>
      <w:r>
        <w:t xml:space="preserve"> _________</w:t>
      </w:r>
    </w:p>
    <w:p w14:paraId="7807F9E9" w14:textId="32B433F5" w:rsidR="00337DD0" w:rsidRPr="00337DD0" w:rsidRDefault="00337DD0" w:rsidP="00337DD0">
      <w:r w:rsidRPr="00337DD0">
        <w:t xml:space="preserve">On May </w:t>
      </w:r>
      <w:r>
        <w:t>5</w:t>
      </w:r>
      <w:r w:rsidRPr="00337DD0">
        <w:t xml:space="preserve">, what was the actual volume of XYZ shares posted? </w:t>
      </w:r>
      <w:r>
        <w:t xml:space="preserve"> _________ On May 12? __________</w:t>
      </w:r>
    </w:p>
    <w:p w14:paraId="4BFB8F3D" w14:textId="16603141" w:rsidR="00337DD0" w:rsidRPr="00337DD0" w:rsidRDefault="00337DD0" w:rsidP="00337DD0">
      <w:r w:rsidRPr="00337DD0">
        <w:t xml:space="preserve">At what price did XYZ Corporation close on </w:t>
      </w:r>
      <w:r w:rsidRPr="00337DD0">
        <w:rPr>
          <w:b/>
          <w:bCs/>
        </w:rPr>
        <w:t>May 4</w:t>
      </w:r>
      <w:r w:rsidRPr="00337DD0">
        <w:t>?</w:t>
      </w:r>
      <w:r>
        <w:t xml:space="preserve"> </w:t>
      </w:r>
    </w:p>
    <w:p w14:paraId="78956DF9" w14:textId="77777777" w:rsidR="00337DD0" w:rsidRDefault="00337DD0" w:rsidP="00337DD0"/>
    <w:p w14:paraId="792E5844" w14:textId="35181975" w:rsidR="00337DD0" w:rsidRDefault="00337DD0" w:rsidP="00337DD0">
      <w:r>
        <w:t>F</w:t>
      </w:r>
      <w:r w:rsidRPr="00337DD0">
        <w:t>ind the difference in prices as a percent increase</w:t>
      </w:r>
      <w:r>
        <w:t xml:space="preserve"> when stock opening on May 5</w:t>
      </w:r>
      <w:r w:rsidRPr="00337DD0">
        <w:t xml:space="preserve">. </w:t>
      </w:r>
    </w:p>
    <w:p w14:paraId="5592FC95" w14:textId="02F0BD7E" w:rsidR="00337DD0" w:rsidRDefault="00337DD0" w:rsidP="00337DD0"/>
    <w:p w14:paraId="68A24AAF" w14:textId="77777777" w:rsidR="00337DD0" w:rsidRDefault="00337DD0" w:rsidP="00337DD0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54D01BB7" w14:textId="3C43D68B" w:rsidR="00337DD0" w:rsidRDefault="00337DD0" w:rsidP="00337DD0">
      <w:r>
        <w:t>F</w:t>
      </w:r>
      <w:r w:rsidRPr="00337DD0">
        <w:t>ind the difference in prices as a percent increase</w:t>
      </w:r>
      <w:r>
        <w:t xml:space="preserve"> when stock opening on May 12</w:t>
      </w:r>
      <w:r w:rsidRPr="00337DD0">
        <w:t xml:space="preserve">. </w:t>
      </w:r>
    </w:p>
    <w:p w14:paraId="63D259B5" w14:textId="17C84EAC" w:rsidR="00337DD0" w:rsidRDefault="00337DD0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7A7ECEC2" w14:textId="6DCEE41B" w:rsidR="00337DD0" w:rsidRDefault="00337DD0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511D4EC" w14:textId="082237FB" w:rsidR="00337DD0" w:rsidRDefault="00337DD0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23CA4E49" w14:textId="387E5B76" w:rsidR="00337DD0" w:rsidRDefault="002F24D5" w:rsidP="002F24D5">
      <w:r>
        <w:t>Open google docs – spreadsheet enter the following</w:t>
      </w:r>
      <w:r w:rsidR="00C96A91">
        <w:t xml:space="preserve"> </w:t>
      </w:r>
      <w:hyperlink r:id="rId8" w:history="1">
        <w:r w:rsidR="00C96A91" w:rsidRPr="00E55D5B">
          <w:rPr>
            <w:rStyle w:val="Hyperlink"/>
          </w:rPr>
          <w:t>http://bit.ly/2zyua5F</w:t>
        </w:r>
      </w:hyperlink>
      <w:r w:rsidR="00C96A91">
        <w:t xml:space="preserve"> </w:t>
      </w:r>
    </w:p>
    <w:p w14:paraId="7EB48B8E" w14:textId="6F5AD147" w:rsidR="002F24D5" w:rsidRDefault="002F24D5" w:rsidP="002F24D5"/>
    <w:p w14:paraId="0A1B7307" w14:textId="3BB274B7" w:rsidR="002F24D5" w:rsidRPr="002F24D5" w:rsidRDefault="002F24D5" w:rsidP="002F24D5">
      <w:r>
        <w:rPr>
          <w:noProof/>
        </w:rPr>
        <w:drawing>
          <wp:inline distT="0" distB="0" distL="0" distR="0" wp14:anchorId="12205CA3" wp14:editId="1B645A0B">
            <wp:extent cx="63246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D33BE" w14:textId="54110974" w:rsidR="00337DD0" w:rsidRDefault="00337DD0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2CA48A92" w14:textId="212D44A2" w:rsidR="002F24D5" w:rsidRDefault="002F24D5" w:rsidP="002F24D5">
      <w:r>
        <w:t>Find the Change and % Change on May 5</w:t>
      </w:r>
    </w:p>
    <w:p w14:paraId="60AED12B" w14:textId="2D9B420D" w:rsidR="002F24D5" w:rsidRDefault="002F24D5" w:rsidP="002F24D5"/>
    <w:p w14:paraId="3841C7FC" w14:textId="44561FF8" w:rsidR="002F24D5" w:rsidRPr="002F24D5" w:rsidRDefault="002F24D5" w:rsidP="002F24D5">
      <w:r>
        <w:t>Find the Change and % Change on May 6 (Show me for stamp)</w:t>
      </w:r>
      <w:r w:rsidR="00CE5141">
        <w:t xml:space="preserve"> </w:t>
      </w:r>
      <w:r w:rsidR="00CE5141" w:rsidRPr="00CE5141">
        <w:rPr>
          <w:sz w:val="16"/>
          <w:szCs w:val="16"/>
        </w:rPr>
        <w:t>-15%</w:t>
      </w:r>
    </w:p>
    <w:p w14:paraId="468A8496" w14:textId="4B0D4230" w:rsidR="00337DD0" w:rsidRDefault="00337DD0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56B10128" w14:textId="7E2498CF" w:rsidR="00337DD0" w:rsidRDefault="00337DD0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98F5CA2" w14:textId="32B5D0B2" w:rsidR="00337DD0" w:rsidRDefault="00337DD0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0CBD229E" w14:textId="4ABB074C" w:rsidR="00C96A91" w:rsidRDefault="00397DDF" w:rsidP="00397DDF">
      <w:r>
        <w:lastRenderedPageBreak/>
        <w:t xml:space="preserve">Enter the following spreadsheet into your google docs. </w:t>
      </w:r>
      <w:hyperlink r:id="rId10" w:history="1">
        <w:r w:rsidR="00C96A91" w:rsidRPr="00E55D5B">
          <w:rPr>
            <w:rStyle w:val="Hyperlink"/>
          </w:rPr>
          <w:t>http://bit.ly/34cKhEb</w:t>
        </w:r>
      </w:hyperlink>
    </w:p>
    <w:p w14:paraId="04140D37" w14:textId="0413D471" w:rsidR="00397DDF" w:rsidRDefault="00397DDF" w:rsidP="00397DDF">
      <w:r>
        <w:t>Use formula to fill in the blank.  Stamp</w:t>
      </w:r>
    </w:p>
    <w:p w14:paraId="728FD494" w14:textId="2CC145FE" w:rsidR="00397DDF" w:rsidRPr="00397DDF" w:rsidRDefault="00397DDF" w:rsidP="00397DDF">
      <w:r w:rsidRPr="00397DDF">
        <w:rPr>
          <w:noProof/>
        </w:rPr>
        <w:drawing>
          <wp:inline distT="0" distB="0" distL="0" distR="0" wp14:anchorId="5F6429EF" wp14:editId="40A0931A">
            <wp:extent cx="5113190" cy="2314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775" cy="232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18CDF" w14:textId="66246740" w:rsidR="00397DDF" w:rsidRPr="00397DDF" w:rsidRDefault="00397DDF" w:rsidP="00397DDF">
      <w:r>
        <w:rPr>
          <w:lang w:bidi="ar-SA"/>
        </w:rPr>
        <w:t xml:space="preserve"> </w:t>
      </w:r>
    </w:p>
    <w:p w14:paraId="7C804341" w14:textId="13B6A59D" w:rsidR="00397DDF" w:rsidRDefault="00437A69" w:rsidP="00397DDF">
      <w:r w:rsidRPr="00397DDF">
        <w:rPr>
          <w:noProof/>
        </w:rPr>
        <w:drawing>
          <wp:anchor distT="0" distB="0" distL="114300" distR="114300" simplePos="0" relativeHeight="251658240" behindDoc="1" locked="0" layoutInCell="1" allowOverlap="1" wp14:anchorId="18864F1C" wp14:editId="1E6A82EB">
            <wp:simplePos x="0" y="0"/>
            <wp:positionH relativeFrom="margin">
              <wp:posOffset>325755</wp:posOffset>
            </wp:positionH>
            <wp:positionV relativeFrom="paragraph">
              <wp:posOffset>177165</wp:posOffset>
            </wp:positionV>
            <wp:extent cx="2698750" cy="2390775"/>
            <wp:effectExtent l="0" t="0" r="6350" b="9525"/>
            <wp:wrapTight wrapText="bothSides">
              <wp:wrapPolygon edited="0">
                <wp:start x="0" y="0"/>
                <wp:lineTo x="0" y="21514"/>
                <wp:lineTo x="21498" y="21514"/>
                <wp:lineTo x="214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DF">
        <w:t>Stock bar chart</w:t>
      </w:r>
    </w:p>
    <w:p w14:paraId="4F8EB8B1" w14:textId="1CF8E6B0" w:rsidR="00397DDF" w:rsidRPr="00397DDF" w:rsidRDefault="00397DDF" w:rsidP="00397DDF"/>
    <w:p w14:paraId="4309F7D7" w14:textId="2D111173" w:rsidR="00397DDF" w:rsidRDefault="00437A69" w:rsidP="00437A69">
      <w:r>
        <w:t>Open =</w:t>
      </w:r>
    </w:p>
    <w:p w14:paraId="02D72ACB" w14:textId="13916233" w:rsidR="00437A69" w:rsidRDefault="00437A69" w:rsidP="00437A69"/>
    <w:p w14:paraId="4B70F7B3" w14:textId="13B4AF82" w:rsidR="00437A69" w:rsidRDefault="00437A69" w:rsidP="00437A69">
      <w:r>
        <w:t xml:space="preserve">Close = </w:t>
      </w:r>
    </w:p>
    <w:p w14:paraId="15BDD9E8" w14:textId="2F5D5E4B" w:rsidR="00437A69" w:rsidRDefault="00437A69" w:rsidP="00437A69"/>
    <w:p w14:paraId="2BF721E3" w14:textId="62D7C71F" w:rsidR="00437A69" w:rsidRDefault="00437A69" w:rsidP="00437A69">
      <w:r>
        <w:t>High =</w:t>
      </w:r>
    </w:p>
    <w:p w14:paraId="0AFEE6A7" w14:textId="6FE347D7" w:rsidR="00437A69" w:rsidRDefault="00437A69" w:rsidP="00437A69"/>
    <w:p w14:paraId="7D4805A1" w14:textId="7DD387B7" w:rsidR="00437A69" w:rsidRDefault="00437A69" w:rsidP="00437A69">
      <w:r>
        <w:t xml:space="preserve">Low = </w:t>
      </w:r>
    </w:p>
    <w:p w14:paraId="370A6ED8" w14:textId="264B1595" w:rsidR="00437A69" w:rsidRDefault="00437A69" w:rsidP="00437A69"/>
    <w:p w14:paraId="2987C90D" w14:textId="2D2CA47D" w:rsidR="00437A69" w:rsidRDefault="00437A69" w:rsidP="00437A69">
      <w:r>
        <w:t>Volume =</w:t>
      </w:r>
    </w:p>
    <w:p w14:paraId="24AF2222" w14:textId="6DBD3A35" w:rsidR="00437A69" w:rsidRDefault="00437A69" w:rsidP="00437A69"/>
    <w:p w14:paraId="0F6EE484" w14:textId="2C4146BD" w:rsidR="00437A69" w:rsidRDefault="00437A69" w:rsidP="00437A69"/>
    <w:p w14:paraId="5F438FA2" w14:textId="58633383" w:rsidR="00437A69" w:rsidRDefault="00437A69" w:rsidP="00437A69"/>
    <w:p w14:paraId="5A97613A" w14:textId="1A4426F0" w:rsidR="00437A69" w:rsidRDefault="00437A69" w:rsidP="00437A69"/>
    <w:p w14:paraId="736D7F1E" w14:textId="0B19E55C" w:rsidR="00437A69" w:rsidRDefault="00437A69" w:rsidP="00437A69">
      <w:r>
        <w:t xml:space="preserve">Base on the Ford’s Stock bar chart, create a </w:t>
      </w:r>
      <w:r w:rsidR="0022420B">
        <w:t>Ford daily spread</w:t>
      </w:r>
      <w:r>
        <w:t xml:space="preserve">sheet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620"/>
        <w:gridCol w:w="810"/>
        <w:gridCol w:w="720"/>
        <w:gridCol w:w="810"/>
        <w:gridCol w:w="804"/>
        <w:gridCol w:w="973"/>
      </w:tblGrid>
      <w:tr w:rsidR="00437A69" w14:paraId="7D17F710" w14:textId="77777777" w:rsidTr="00437A69">
        <w:tc>
          <w:tcPr>
            <w:tcW w:w="4225" w:type="dxa"/>
          </w:tcPr>
          <w:p w14:paraId="594319AC" w14:textId="0849D81C" w:rsidR="00437A69" w:rsidRDefault="00437A69" w:rsidP="00437A69">
            <w:pPr>
              <w:jc w:val="center"/>
            </w:pPr>
            <w:r>
              <w:t>Ford Daily</w:t>
            </w:r>
          </w:p>
        </w:tc>
        <w:tc>
          <w:tcPr>
            <w:tcW w:w="1620" w:type="dxa"/>
          </w:tcPr>
          <w:p w14:paraId="7E3CB22C" w14:textId="60732556" w:rsidR="00437A69" w:rsidRDefault="00437A69" w:rsidP="0022420B">
            <w:pPr>
              <w:jc w:val="center"/>
            </w:pPr>
            <w:r>
              <w:t>Date</w:t>
            </w:r>
          </w:p>
        </w:tc>
        <w:tc>
          <w:tcPr>
            <w:tcW w:w="810" w:type="dxa"/>
          </w:tcPr>
          <w:p w14:paraId="798C4841" w14:textId="68835897" w:rsidR="00437A69" w:rsidRDefault="00437A69" w:rsidP="00437A69">
            <w:r>
              <w:t>High</w:t>
            </w:r>
          </w:p>
        </w:tc>
        <w:tc>
          <w:tcPr>
            <w:tcW w:w="720" w:type="dxa"/>
          </w:tcPr>
          <w:p w14:paraId="15BCD2A3" w14:textId="3572C11B" w:rsidR="00437A69" w:rsidRDefault="00437A69" w:rsidP="00437A69">
            <w:r>
              <w:t>Low</w:t>
            </w:r>
          </w:p>
        </w:tc>
        <w:tc>
          <w:tcPr>
            <w:tcW w:w="810" w:type="dxa"/>
          </w:tcPr>
          <w:p w14:paraId="07E975C9" w14:textId="2FE34675" w:rsidR="00437A69" w:rsidRDefault="00437A69" w:rsidP="00437A69">
            <w:r>
              <w:t xml:space="preserve">Open </w:t>
            </w:r>
          </w:p>
        </w:tc>
        <w:tc>
          <w:tcPr>
            <w:tcW w:w="804" w:type="dxa"/>
          </w:tcPr>
          <w:p w14:paraId="225846D6" w14:textId="196654A7" w:rsidR="00437A69" w:rsidRDefault="00437A69" w:rsidP="00437A69">
            <w:r>
              <w:t>Close</w:t>
            </w:r>
          </w:p>
        </w:tc>
        <w:tc>
          <w:tcPr>
            <w:tcW w:w="973" w:type="dxa"/>
          </w:tcPr>
          <w:p w14:paraId="2FA236AA" w14:textId="56F851F3" w:rsidR="00437A69" w:rsidRDefault="00437A69" w:rsidP="00437A69">
            <w:r>
              <w:t>Volume</w:t>
            </w:r>
          </w:p>
        </w:tc>
      </w:tr>
      <w:tr w:rsidR="00437A69" w14:paraId="4DFAA3A7" w14:textId="77777777" w:rsidTr="00437A69">
        <w:tc>
          <w:tcPr>
            <w:tcW w:w="4225" w:type="dxa"/>
            <w:vMerge w:val="restart"/>
          </w:tcPr>
          <w:p w14:paraId="1B6E22D1" w14:textId="7B80A9FF" w:rsidR="00437A69" w:rsidRDefault="00C96A91" w:rsidP="00437A69">
            <w:bookmarkStart w:id="0" w:name="_GoBack"/>
            <w:bookmarkEnd w:id="0"/>
            <w:r w:rsidRPr="00437A6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4560FC6" wp14:editId="2407222A">
                  <wp:simplePos x="0" y="0"/>
                  <wp:positionH relativeFrom="column">
                    <wp:posOffset>-10795</wp:posOffset>
                  </wp:positionH>
                  <wp:positionV relativeFrom="page">
                    <wp:posOffset>181610</wp:posOffset>
                  </wp:positionV>
                  <wp:extent cx="2514600" cy="2539365"/>
                  <wp:effectExtent l="0" t="0" r="0" b="0"/>
                  <wp:wrapTight wrapText="bothSides">
                    <wp:wrapPolygon edited="0">
                      <wp:start x="0" y="0"/>
                      <wp:lineTo x="0" y="21389"/>
                      <wp:lineTo x="21436" y="21389"/>
                      <wp:lineTo x="2143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3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</w:tcPr>
          <w:p w14:paraId="37529411" w14:textId="77777777" w:rsidR="00437A69" w:rsidRDefault="00437A69" w:rsidP="00437A69"/>
          <w:p w14:paraId="0CF1E0F9" w14:textId="77777777" w:rsidR="00437A69" w:rsidRDefault="00437A69" w:rsidP="00437A69"/>
          <w:p w14:paraId="6B3A6518" w14:textId="7607310E" w:rsidR="00437A69" w:rsidRDefault="00437A69" w:rsidP="00437A69"/>
        </w:tc>
        <w:tc>
          <w:tcPr>
            <w:tcW w:w="810" w:type="dxa"/>
          </w:tcPr>
          <w:p w14:paraId="3A453A43" w14:textId="77777777" w:rsidR="00437A69" w:rsidRDefault="00437A69" w:rsidP="00437A69"/>
        </w:tc>
        <w:tc>
          <w:tcPr>
            <w:tcW w:w="720" w:type="dxa"/>
          </w:tcPr>
          <w:p w14:paraId="0CD8EF97" w14:textId="77777777" w:rsidR="00437A69" w:rsidRDefault="00437A69" w:rsidP="00437A69"/>
        </w:tc>
        <w:tc>
          <w:tcPr>
            <w:tcW w:w="810" w:type="dxa"/>
          </w:tcPr>
          <w:p w14:paraId="796C1FC3" w14:textId="77777777" w:rsidR="00437A69" w:rsidRDefault="00437A69" w:rsidP="00437A69"/>
        </w:tc>
        <w:tc>
          <w:tcPr>
            <w:tcW w:w="804" w:type="dxa"/>
          </w:tcPr>
          <w:p w14:paraId="440B669D" w14:textId="77777777" w:rsidR="00437A69" w:rsidRDefault="00437A69" w:rsidP="00437A69"/>
        </w:tc>
        <w:tc>
          <w:tcPr>
            <w:tcW w:w="973" w:type="dxa"/>
          </w:tcPr>
          <w:p w14:paraId="046C68BC" w14:textId="77777777" w:rsidR="00437A69" w:rsidRDefault="00437A69" w:rsidP="00437A69"/>
        </w:tc>
      </w:tr>
      <w:tr w:rsidR="00437A69" w14:paraId="0EBED071" w14:textId="77777777" w:rsidTr="00437A69">
        <w:tc>
          <w:tcPr>
            <w:tcW w:w="4225" w:type="dxa"/>
            <w:vMerge/>
          </w:tcPr>
          <w:p w14:paraId="23650FB7" w14:textId="77777777" w:rsidR="00437A69" w:rsidRDefault="00437A69" w:rsidP="00437A69"/>
        </w:tc>
        <w:tc>
          <w:tcPr>
            <w:tcW w:w="1620" w:type="dxa"/>
          </w:tcPr>
          <w:p w14:paraId="4475A0BD" w14:textId="77777777" w:rsidR="00437A69" w:rsidRDefault="00437A69" w:rsidP="00437A69"/>
          <w:p w14:paraId="0D1D5BEB" w14:textId="77777777" w:rsidR="00437A69" w:rsidRDefault="00437A69" w:rsidP="00437A69"/>
          <w:p w14:paraId="7718B558" w14:textId="6FA44CA5" w:rsidR="00437A69" w:rsidRDefault="00437A69" w:rsidP="00437A69"/>
        </w:tc>
        <w:tc>
          <w:tcPr>
            <w:tcW w:w="810" w:type="dxa"/>
          </w:tcPr>
          <w:p w14:paraId="09F1F752" w14:textId="77777777" w:rsidR="00437A69" w:rsidRDefault="00437A69" w:rsidP="00437A69"/>
        </w:tc>
        <w:tc>
          <w:tcPr>
            <w:tcW w:w="720" w:type="dxa"/>
          </w:tcPr>
          <w:p w14:paraId="22A9AC21" w14:textId="77777777" w:rsidR="00437A69" w:rsidRDefault="00437A69" w:rsidP="00437A69"/>
        </w:tc>
        <w:tc>
          <w:tcPr>
            <w:tcW w:w="810" w:type="dxa"/>
          </w:tcPr>
          <w:p w14:paraId="623D2F53" w14:textId="77777777" w:rsidR="00437A69" w:rsidRDefault="00437A69" w:rsidP="00437A69"/>
        </w:tc>
        <w:tc>
          <w:tcPr>
            <w:tcW w:w="804" w:type="dxa"/>
          </w:tcPr>
          <w:p w14:paraId="604D6BFA" w14:textId="77777777" w:rsidR="00437A69" w:rsidRDefault="00437A69" w:rsidP="00437A69"/>
        </w:tc>
        <w:tc>
          <w:tcPr>
            <w:tcW w:w="973" w:type="dxa"/>
          </w:tcPr>
          <w:p w14:paraId="15343415" w14:textId="77777777" w:rsidR="00437A69" w:rsidRDefault="00437A69" w:rsidP="00437A69"/>
        </w:tc>
      </w:tr>
      <w:tr w:rsidR="00437A69" w14:paraId="41D5A0DA" w14:textId="77777777" w:rsidTr="00437A69">
        <w:tc>
          <w:tcPr>
            <w:tcW w:w="4225" w:type="dxa"/>
            <w:vMerge/>
          </w:tcPr>
          <w:p w14:paraId="494F251D" w14:textId="77777777" w:rsidR="00437A69" w:rsidRDefault="00437A69" w:rsidP="00437A69"/>
        </w:tc>
        <w:tc>
          <w:tcPr>
            <w:tcW w:w="1620" w:type="dxa"/>
          </w:tcPr>
          <w:p w14:paraId="743F5A81" w14:textId="77777777" w:rsidR="00437A69" w:rsidRDefault="00437A69" w:rsidP="00437A69"/>
          <w:p w14:paraId="70714D64" w14:textId="77777777" w:rsidR="00437A69" w:rsidRDefault="00437A69" w:rsidP="00437A69"/>
          <w:p w14:paraId="7C4FADDC" w14:textId="3D7FF1F0" w:rsidR="00437A69" w:rsidRDefault="00437A69" w:rsidP="00437A69"/>
        </w:tc>
        <w:tc>
          <w:tcPr>
            <w:tcW w:w="810" w:type="dxa"/>
          </w:tcPr>
          <w:p w14:paraId="17CDD972" w14:textId="77777777" w:rsidR="00437A69" w:rsidRDefault="00437A69" w:rsidP="00437A69"/>
        </w:tc>
        <w:tc>
          <w:tcPr>
            <w:tcW w:w="720" w:type="dxa"/>
          </w:tcPr>
          <w:p w14:paraId="4F1B9C17" w14:textId="77777777" w:rsidR="00437A69" w:rsidRDefault="00437A69" w:rsidP="00437A69"/>
        </w:tc>
        <w:tc>
          <w:tcPr>
            <w:tcW w:w="810" w:type="dxa"/>
          </w:tcPr>
          <w:p w14:paraId="7140089A" w14:textId="77777777" w:rsidR="00437A69" w:rsidRDefault="00437A69" w:rsidP="00437A69"/>
        </w:tc>
        <w:tc>
          <w:tcPr>
            <w:tcW w:w="804" w:type="dxa"/>
          </w:tcPr>
          <w:p w14:paraId="4096EB84" w14:textId="77777777" w:rsidR="00437A69" w:rsidRDefault="00437A69" w:rsidP="00437A69"/>
        </w:tc>
        <w:tc>
          <w:tcPr>
            <w:tcW w:w="973" w:type="dxa"/>
          </w:tcPr>
          <w:p w14:paraId="78D5EC42" w14:textId="77777777" w:rsidR="00437A69" w:rsidRDefault="00437A69" w:rsidP="00437A69"/>
        </w:tc>
      </w:tr>
      <w:tr w:rsidR="00437A69" w14:paraId="2013CF6D" w14:textId="77777777" w:rsidTr="00437A69">
        <w:tc>
          <w:tcPr>
            <w:tcW w:w="4225" w:type="dxa"/>
            <w:vMerge/>
          </w:tcPr>
          <w:p w14:paraId="3B88B538" w14:textId="77777777" w:rsidR="00437A69" w:rsidRDefault="00437A69" w:rsidP="00437A69"/>
        </w:tc>
        <w:tc>
          <w:tcPr>
            <w:tcW w:w="1620" w:type="dxa"/>
          </w:tcPr>
          <w:p w14:paraId="7A6BB7A4" w14:textId="77777777" w:rsidR="00437A69" w:rsidRDefault="00437A69" w:rsidP="00437A69"/>
          <w:p w14:paraId="369C1FA5" w14:textId="77777777" w:rsidR="00437A69" w:rsidRDefault="00437A69" w:rsidP="00437A69"/>
          <w:p w14:paraId="069D0003" w14:textId="1170FCBA" w:rsidR="00437A69" w:rsidRDefault="00437A69" w:rsidP="00437A69"/>
        </w:tc>
        <w:tc>
          <w:tcPr>
            <w:tcW w:w="810" w:type="dxa"/>
          </w:tcPr>
          <w:p w14:paraId="50161E53" w14:textId="77777777" w:rsidR="00437A69" w:rsidRDefault="00437A69" w:rsidP="00437A69"/>
        </w:tc>
        <w:tc>
          <w:tcPr>
            <w:tcW w:w="720" w:type="dxa"/>
          </w:tcPr>
          <w:p w14:paraId="7B962892" w14:textId="77777777" w:rsidR="00437A69" w:rsidRDefault="00437A69" w:rsidP="00437A69"/>
        </w:tc>
        <w:tc>
          <w:tcPr>
            <w:tcW w:w="810" w:type="dxa"/>
          </w:tcPr>
          <w:p w14:paraId="4A9F61C0" w14:textId="77777777" w:rsidR="00437A69" w:rsidRDefault="00437A69" w:rsidP="00437A69"/>
        </w:tc>
        <w:tc>
          <w:tcPr>
            <w:tcW w:w="804" w:type="dxa"/>
          </w:tcPr>
          <w:p w14:paraId="5F75CE34" w14:textId="77777777" w:rsidR="00437A69" w:rsidRDefault="00437A69" w:rsidP="00437A69"/>
        </w:tc>
        <w:tc>
          <w:tcPr>
            <w:tcW w:w="973" w:type="dxa"/>
          </w:tcPr>
          <w:p w14:paraId="4574775C" w14:textId="77777777" w:rsidR="00437A69" w:rsidRDefault="00437A69" w:rsidP="00437A69"/>
        </w:tc>
      </w:tr>
      <w:tr w:rsidR="00437A69" w14:paraId="4E012A29" w14:textId="77777777" w:rsidTr="00437A69">
        <w:tc>
          <w:tcPr>
            <w:tcW w:w="4225" w:type="dxa"/>
            <w:vMerge/>
          </w:tcPr>
          <w:p w14:paraId="11720238" w14:textId="77777777" w:rsidR="00437A69" w:rsidRDefault="00437A69" w:rsidP="00437A69"/>
        </w:tc>
        <w:tc>
          <w:tcPr>
            <w:tcW w:w="1620" w:type="dxa"/>
          </w:tcPr>
          <w:p w14:paraId="517C186C" w14:textId="53AA19D1" w:rsidR="00437A69" w:rsidRDefault="00437A69" w:rsidP="00437A69"/>
          <w:p w14:paraId="42CE3672" w14:textId="77777777" w:rsidR="00437A69" w:rsidRDefault="00437A69" w:rsidP="00437A69"/>
          <w:p w14:paraId="5DCBEB25" w14:textId="20C1B875" w:rsidR="00437A69" w:rsidRDefault="00437A69" w:rsidP="00437A69"/>
        </w:tc>
        <w:tc>
          <w:tcPr>
            <w:tcW w:w="810" w:type="dxa"/>
          </w:tcPr>
          <w:p w14:paraId="7308CB3F" w14:textId="63C42CDD" w:rsidR="00437A69" w:rsidRDefault="00437A69" w:rsidP="00437A69"/>
        </w:tc>
        <w:tc>
          <w:tcPr>
            <w:tcW w:w="720" w:type="dxa"/>
          </w:tcPr>
          <w:p w14:paraId="336A23CD" w14:textId="77777777" w:rsidR="00437A69" w:rsidRDefault="00437A69" w:rsidP="00437A69"/>
        </w:tc>
        <w:tc>
          <w:tcPr>
            <w:tcW w:w="810" w:type="dxa"/>
          </w:tcPr>
          <w:p w14:paraId="09EC4951" w14:textId="77777777" w:rsidR="00437A69" w:rsidRDefault="00437A69" w:rsidP="00437A69"/>
        </w:tc>
        <w:tc>
          <w:tcPr>
            <w:tcW w:w="804" w:type="dxa"/>
          </w:tcPr>
          <w:p w14:paraId="48C553BC" w14:textId="77777777" w:rsidR="00437A69" w:rsidRDefault="00437A69" w:rsidP="00437A69"/>
        </w:tc>
        <w:tc>
          <w:tcPr>
            <w:tcW w:w="973" w:type="dxa"/>
          </w:tcPr>
          <w:p w14:paraId="552A2CAF" w14:textId="77777777" w:rsidR="00437A69" w:rsidRDefault="00437A69" w:rsidP="00437A69"/>
        </w:tc>
      </w:tr>
    </w:tbl>
    <w:p w14:paraId="71785039" w14:textId="7C761B0F" w:rsidR="0022420B" w:rsidRPr="0022420B" w:rsidRDefault="0022420B" w:rsidP="0022420B">
      <w:r w:rsidRPr="0022420B">
        <w:lastRenderedPageBreak/>
        <w:t>Candlestick Charts</w:t>
      </w:r>
    </w:p>
    <w:p w14:paraId="4F7FEEC3" w14:textId="77777777" w:rsidR="0022420B" w:rsidRDefault="0022420B" w:rsidP="0022420B">
      <w:r w:rsidRPr="0022420B">
        <w:rPr>
          <w:noProof/>
        </w:rPr>
        <w:drawing>
          <wp:anchor distT="0" distB="0" distL="114300" distR="114300" simplePos="0" relativeHeight="251662336" behindDoc="1" locked="0" layoutInCell="1" allowOverlap="1" wp14:anchorId="4899C3DB" wp14:editId="65FB5088">
            <wp:simplePos x="0" y="0"/>
            <wp:positionH relativeFrom="column">
              <wp:posOffset>3404235</wp:posOffset>
            </wp:positionH>
            <wp:positionV relativeFrom="paragraph">
              <wp:posOffset>9525</wp:posOffset>
            </wp:positionV>
            <wp:extent cx="263398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02" y="21388"/>
                <wp:lineTo x="2140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20B">
        <w:t>Another type of chart that is similar to a stock bar chart is a</w:t>
      </w:r>
      <w:r>
        <w:t xml:space="preserve"> </w:t>
      </w:r>
      <w:r w:rsidRPr="0022420B">
        <w:t>candlestick chart. A candlestick chart may be easier to read</w:t>
      </w:r>
      <w:r>
        <w:t xml:space="preserve"> </w:t>
      </w:r>
      <w:r w:rsidRPr="0022420B">
        <w:t xml:space="preserve">and contains more information at a glance. </w:t>
      </w:r>
    </w:p>
    <w:p w14:paraId="088469B2" w14:textId="77777777" w:rsidR="0022420B" w:rsidRDefault="0022420B" w:rsidP="0022420B">
      <w:r w:rsidRPr="0022420B">
        <w:t>The top and bottom</w:t>
      </w:r>
      <w:r>
        <w:t xml:space="preserve"> </w:t>
      </w:r>
      <w:r w:rsidRPr="0022420B">
        <w:t>of the vertical line indicate the high and low prices over</w:t>
      </w:r>
      <w:r>
        <w:t xml:space="preserve"> </w:t>
      </w:r>
      <w:r w:rsidRPr="0022420B">
        <w:t xml:space="preserve">the given time period. </w:t>
      </w:r>
    </w:p>
    <w:p w14:paraId="0AEA4594" w14:textId="45AC92B1" w:rsidR="0022420B" w:rsidRPr="0022420B" w:rsidRDefault="0022420B" w:rsidP="0022420B">
      <w:r w:rsidRPr="0022420B">
        <w:t>The rectangular region is known as the</w:t>
      </w:r>
    </w:p>
    <w:p w14:paraId="694A7468" w14:textId="175DFBCC" w:rsidR="00437A69" w:rsidRPr="0022420B" w:rsidRDefault="0022420B" w:rsidP="0022420B">
      <w:r w:rsidRPr="0022420B">
        <w:t>real body and is displayed in two different colors depending</w:t>
      </w:r>
      <w:r>
        <w:t xml:space="preserve"> </w:t>
      </w:r>
      <w:r w:rsidRPr="0022420B">
        <w:t>upon the action for the day on that stock.</w:t>
      </w:r>
    </w:p>
    <w:p w14:paraId="73104867" w14:textId="52B67F31" w:rsidR="00397DDF" w:rsidRPr="00437A69" w:rsidRDefault="00397DDF" w:rsidP="00437A69"/>
    <w:p w14:paraId="3E3A6AAB" w14:textId="621B033A" w:rsidR="00397DDF" w:rsidRDefault="00397DDF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566486B" w14:textId="54D1CD00" w:rsidR="00C23FD2" w:rsidRDefault="00C23FD2" w:rsidP="00C23FD2">
      <w:r>
        <w:t xml:space="preserve">Base on </w:t>
      </w:r>
      <w:proofErr w:type="gramStart"/>
      <w:r>
        <w:t>the this</w:t>
      </w:r>
      <w:proofErr w:type="gramEnd"/>
      <w:r>
        <w:t xml:space="preserve"> candlestick chart, create a spreadsheet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620"/>
        <w:gridCol w:w="810"/>
        <w:gridCol w:w="720"/>
        <w:gridCol w:w="810"/>
        <w:gridCol w:w="804"/>
        <w:gridCol w:w="973"/>
      </w:tblGrid>
      <w:tr w:rsidR="00C23FD2" w14:paraId="6A9EA6AE" w14:textId="77777777" w:rsidTr="00D071A6">
        <w:tc>
          <w:tcPr>
            <w:tcW w:w="4225" w:type="dxa"/>
          </w:tcPr>
          <w:p w14:paraId="0FF4F236" w14:textId="77777777" w:rsidR="00C23FD2" w:rsidRDefault="00C23FD2" w:rsidP="00D071A6">
            <w:pPr>
              <w:jc w:val="center"/>
            </w:pPr>
            <w:r>
              <w:t>Ford Daily</w:t>
            </w:r>
          </w:p>
        </w:tc>
        <w:tc>
          <w:tcPr>
            <w:tcW w:w="1620" w:type="dxa"/>
          </w:tcPr>
          <w:p w14:paraId="42FCC414" w14:textId="77777777" w:rsidR="00C23FD2" w:rsidRDefault="00C23FD2" w:rsidP="00D071A6">
            <w:pPr>
              <w:jc w:val="center"/>
            </w:pPr>
            <w:r>
              <w:t>Date</w:t>
            </w:r>
          </w:p>
        </w:tc>
        <w:tc>
          <w:tcPr>
            <w:tcW w:w="810" w:type="dxa"/>
          </w:tcPr>
          <w:p w14:paraId="75FB1186" w14:textId="77777777" w:rsidR="00C23FD2" w:rsidRDefault="00C23FD2" w:rsidP="00D071A6">
            <w:r>
              <w:t>High</w:t>
            </w:r>
          </w:p>
        </w:tc>
        <w:tc>
          <w:tcPr>
            <w:tcW w:w="720" w:type="dxa"/>
          </w:tcPr>
          <w:p w14:paraId="3BDC2EDA" w14:textId="77777777" w:rsidR="00C23FD2" w:rsidRDefault="00C23FD2" w:rsidP="00D071A6">
            <w:r>
              <w:t>Low</w:t>
            </w:r>
          </w:p>
        </w:tc>
        <w:tc>
          <w:tcPr>
            <w:tcW w:w="810" w:type="dxa"/>
          </w:tcPr>
          <w:p w14:paraId="08FE2DB3" w14:textId="77777777" w:rsidR="00C23FD2" w:rsidRDefault="00C23FD2" w:rsidP="00D071A6">
            <w:r>
              <w:t xml:space="preserve">Open </w:t>
            </w:r>
          </w:p>
        </w:tc>
        <w:tc>
          <w:tcPr>
            <w:tcW w:w="804" w:type="dxa"/>
          </w:tcPr>
          <w:p w14:paraId="1A2BF0F7" w14:textId="77777777" w:rsidR="00C23FD2" w:rsidRDefault="00C23FD2" w:rsidP="00D071A6">
            <w:r>
              <w:t>Close</w:t>
            </w:r>
          </w:p>
        </w:tc>
        <w:tc>
          <w:tcPr>
            <w:tcW w:w="973" w:type="dxa"/>
          </w:tcPr>
          <w:p w14:paraId="22C7EB68" w14:textId="77777777" w:rsidR="00C23FD2" w:rsidRDefault="00C23FD2" w:rsidP="00D071A6">
            <w:r>
              <w:t>Volume</w:t>
            </w:r>
          </w:p>
        </w:tc>
      </w:tr>
      <w:tr w:rsidR="00C23FD2" w14:paraId="0A7B66F0" w14:textId="77777777" w:rsidTr="00D071A6">
        <w:tc>
          <w:tcPr>
            <w:tcW w:w="4225" w:type="dxa"/>
            <w:vMerge w:val="restart"/>
          </w:tcPr>
          <w:p w14:paraId="636D605D" w14:textId="622C055D" w:rsidR="00C23FD2" w:rsidRDefault="00C23FD2" w:rsidP="00D071A6">
            <w:r w:rsidRPr="00C23FD2">
              <w:rPr>
                <w:noProof/>
              </w:rPr>
              <w:drawing>
                <wp:inline distT="0" distB="0" distL="0" distR="0" wp14:anchorId="42C45915" wp14:editId="768BFF58">
                  <wp:extent cx="2343150" cy="2893604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92" cy="290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7616B2FD" w14:textId="77777777" w:rsidR="00C23FD2" w:rsidRDefault="00C23FD2" w:rsidP="00D071A6"/>
          <w:p w14:paraId="5FDD80A1" w14:textId="77777777" w:rsidR="00C23FD2" w:rsidRDefault="00C23FD2" w:rsidP="00D071A6"/>
          <w:p w14:paraId="4F9C8FE8" w14:textId="77777777" w:rsidR="00C23FD2" w:rsidRDefault="00C23FD2" w:rsidP="00D071A6"/>
        </w:tc>
        <w:tc>
          <w:tcPr>
            <w:tcW w:w="810" w:type="dxa"/>
          </w:tcPr>
          <w:p w14:paraId="444994F1" w14:textId="77777777" w:rsidR="00C23FD2" w:rsidRDefault="00C23FD2" w:rsidP="00D071A6"/>
        </w:tc>
        <w:tc>
          <w:tcPr>
            <w:tcW w:w="720" w:type="dxa"/>
          </w:tcPr>
          <w:p w14:paraId="55E3BD56" w14:textId="77777777" w:rsidR="00C23FD2" w:rsidRDefault="00C23FD2" w:rsidP="00D071A6"/>
        </w:tc>
        <w:tc>
          <w:tcPr>
            <w:tcW w:w="810" w:type="dxa"/>
          </w:tcPr>
          <w:p w14:paraId="1CE379A4" w14:textId="77777777" w:rsidR="00C23FD2" w:rsidRDefault="00C23FD2" w:rsidP="00D071A6"/>
        </w:tc>
        <w:tc>
          <w:tcPr>
            <w:tcW w:w="804" w:type="dxa"/>
          </w:tcPr>
          <w:p w14:paraId="5DBE438C" w14:textId="77777777" w:rsidR="00C23FD2" w:rsidRDefault="00C23FD2" w:rsidP="00D071A6"/>
        </w:tc>
        <w:tc>
          <w:tcPr>
            <w:tcW w:w="973" w:type="dxa"/>
          </w:tcPr>
          <w:p w14:paraId="673229D3" w14:textId="77777777" w:rsidR="00C23FD2" w:rsidRDefault="00C23FD2" w:rsidP="00D071A6"/>
        </w:tc>
      </w:tr>
      <w:tr w:rsidR="00C23FD2" w14:paraId="0439BC77" w14:textId="77777777" w:rsidTr="00D071A6">
        <w:tc>
          <w:tcPr>
            <w:tcW w:w="4225" w:type="dxa"/>
            <w:vMerge/>
          </w:tcPr>
          <w:p w14:paraId="3B28AC27" w14:textId="77777777" w:rsidR="00C23FD2" w:rsidRDefault="00C23FD2" w:rsidP="00D071A6"/>
        </w:tc>
        <w:tc>
          <w:tcPr>
            <w:tcW w:w="1620" w:type="dxa"/>
          </w:tcPr>
          <w:p w14:paraId="22611907" w14:textId="77777777" w:rsidR="00C23FD2" w:rsidRDefault="00C23FD2" w:rsidP="00D071A6"/>
          <w:p w14:paraId="0209F89D" w14:textId="77777777" w:rsidR="00C23FD2" w:rsidRDefault="00C23FD2" w:rsidP="00D071A6"/>
          <w:p w14:paraId="5393550F" w14:textId="77777777" w:rsidR="00C23FD2" w:rsidRDefault="00C23FD2" w:rsidP="00D071A6"/>
        </w:tc>
        <w:tc>
          <w:tcPr>
            <w:tcW w:w="810" w:type="dxa"/>
          </w:tcPr>
          <w:p w14:paraId="5632F8DE" w14:textId="77777777" w:rsidR="00C23FD2" w:rsidRDefault="00C23FD2" w:rsidP="00D071A6"/>
        </w:tc>
        <w:tc>
          <w:tcPr>
            <w:tcW w:w="720" w:type="dxa"/>
          </w:tcPr>
          <w:p w14:paraId="7C823403" w14:textId="77777777" w:rsidR="00C23FD2" w:rsidRDefault="00C23FD2" w:rsidP="00D071A6"/>
        </w:tc>
        <w:tc>
          <w:tcPr>
            <w:tcW w:w="810" w:type="dxa"/>
          </w:tcPr>
          <w:p w14:paraId="2A124F5A" w14:textId="77777777" w:rsidR="00C23FD2" w:rsidRDefault="00C23FD2" w:rsidP="00D071A6"/>
        </w:tc>
        <w:tc>
          <w:tcPr>
            <w:tcW w:w="804" w:type="dxa"/>
          </w:tcPr>
          <w:p w14:paraId="1B7AF7B4" w14:textId="77777777" w:rsidR="00C23FD2" w:rsidRDefault="00C23FD2" w:rsidP="00D071A6"/>
        </w:tc>
        <w:tc>
          <w:tcPr>
            <w:tcW w:w="973" w:type="dxa"/>
          </w:tcPr>
          <w:p w14:paraId="577D7D38" w14:textId="77777777" w:rsidR="00C23FD2" w:rsidRDefault="00C23FD2" w:rsidP="00D071A6"/>
        </w:tc>
      </w:tr>
      <w:tr w:rsidR="00C23FD2" w14:paraId="2F258810" w14:textId="77777777" w:rsidTr="00D071A6">
        <w:tc>
          <w:tcPr>
            <w:tcW w:w="4225" w:type="dxa"/>
            <w:vMerge/>
          </w:tcPr>
          <w:p w14:paraId="35FFE305" w14:textId="77777777" w:rsidR="00C23FD2" w:rsidRDefault="00C23FD2" w:rsidP="00D071A6"/>
        </w:tc>
        <w:tc>
          <w:tcPr>
            <w:tcW w:w="1620" w:type="dxa"/>
          </w:tcPr>
          <w:p w14:paraId="34B4FCBA" w14:textId="77777777" w:rsidR="00C23FD2" w:rsidRDefault="00C23FD2" w:rsidP="00D071A6"/>
          <w:p w14:paraId="1E50311B" w14:textId="77777777" w:rsidR="00C23FD2" w:rsidRDefault="00C23FD2" w:rsidP="00D071A6"/>
          <w:p w14:paraId="0578A1DE" w14:textId="77777777" w:rsidR="00C23FD2" w:rsidRDefault="00C23FD2" w:rsidP="00D071A6"/>
        </w:tc>
        <w:tc>
          <w:tcPr>
            <w:tcW w:w="810" w:type="dxa"/>
          </w:tcPr>
          <w:p w14:paraId="7FE678F1" w14:textId="77777777" w:rsidR="00C23FD2" w:rsidRDefault="00C23FD2" w:rsidP="00D071A6"/>
        </w:tc>
        <w:tc>
          <w:tcPr>
            <w:tcW w:w="720" w:type="dxa"/>
          </w:tcPr>
          <w:p w14:paraId="47BAB7B3" w14:textId="77777777" w:rsidR="00C23FD2" w:rsidRDefault="00C23FD2" w:rsidP="00D071A6"/>
        </w:tc>
        <w:tc>
          <w:tcPr>
            <w:tcW w:w="810" w:type="dxa"/>
          </w:tcPr>
          <w:p w14:paraId="61263B7F" w14:textId="77777777" w:rsidR="00C23FD2" w:rsidRDefault="00C23FD2" w:rsidP="00D071A6"/>
        </w:tc>
        <w:tc>
          <w:tcPr>
            <w:tcW w:w="804" w:type="dxa"/>
          </w:tcPr>
          <w:p w14:paraId="12C55F71" w14:textId="77777777" w:rsidR="00C23FD2" w:rsidRDefault="00C23FD2" w:rsidP="00D071A6"/>
        </w:tc>
        <w:tc>
          <w:tcPr>
            <w:tcW w:w="973" w:type="dxa"/>
          </w:tcPr>
          <w:p w14:paraId="38EB1F88" w14:textId="77777777" w:rsidR="00C23FD2" w:rsidRDefault="00C23FD2" w:rsidP="00D071A6"/>
        </w:tc>
      </w:tr>
      <w:tr w:rsidR="00C23FD2" w14:paraId="57886B7B" w14:textId="77777777" w:rsidTr="00D071A6">
        <w:tc>
          <w:tcPr>
            <w:tcW w:w="4225" w:type="dxa"/>
            <w:vMerge/>
          </w:tcPr>
          <w:p w14:paraId="4DE1979E" w14:textId="77777777" w:rsidR="00C23FD2" w:rsidRDefault="00C23FD2" w:rsidP="00D071A6"/>
        </w:tc>
        <w:tc>
          <w:tcPr>
            <w:tcW w:w="1620" w:type="dxa"/>
          </w:tcPr>
          <w:p w14:paraId="62825F04" w14:textId="77777777" w:rsidR="00C23FD2" w:rsidRDefault="00C23FD2" w:rsidP="00D071A6"/>
          <w:p w14:paraId="3E83F565" w14:textId="77777777" w:rsidR="00C23FD2" w:rsidRDefault="00C23FD2" w:rsidP="00D071A6"/>
          <w:p w14:paraId="6769EE78" w14:textId="77777777" w:rsidR="00C23FD2" w:rsidRDefault="00C23FD2" w:rsidP="00D071A6"/>
        </w:tc>
        <w:tc>
          <w:tcPr>
            <w:tcW w:w="810" w:type="dxa"/>
          </w:tcPr>
          <w:p w14:paraId="65EE5612" w14:textId="77777777" w:rsidR="00C23FD2" w:rsidRDefault="00C23FD2" w:rsidP="00D071A6"/>
        </w:tc>
        <w:tc>
          <w:tcPr>
            <w:tcW w:w="720" w:type="dxa"/>
          </w:tcPr>
          <w:p w14:paraId="0368E0A3" w14:textId="77777777" w:rsidR="00C23FD2" w:rsidRDefault="00C23FD2" w:rsidP="00D071A6"/>
        </w:tc>
        <w:tc>
          <w:tcPr>
            <w:tcW w:w="810" w:type="dxa"/>
          </w:tcPr>
          <w:p w14:paraId="697E7680" w14:textId="77777777" w:rsidR="00C23FD2" w:rsidRDefault="00C23FD2" w:rsidP="00D071A6"/>
        </w:tc>
        <w:tc>
          <w:tcPr>
            <w:tcW w:w="804" w:type="dxa"/>
          </w:tcPr>
          <w:p w14:paraId="3394E990" w14:textId="77777777" w:rsidR="00C23FD2" w:rsidRDefault="00C23FD2" w:rsidP="00D071A6"/>
        </w:tc>
        <w:tc>
          <w:tcPr>
            <w:tcW w:w="973" w:type="dxa"/>
          </w:tcPr>
          <w:p w14:paraId="72D103B7" w14:textId="77777777" w:rsidR="00C23FD2" w:rsidRDefault="00C23FD2" w:rsidP="00D071A6"/>
        </w:tc>
      </w:tr>
      <w:tr w:rsidR="00C23FD2" w14:paraId="2BBF1DA2" w14:textId="77777777" w:rsidTr="00D071A6">
        <w:tc>
          <w:tcPr>
            <w:tcW w:w="4225" w:type="dxa"/>
            <w:vMerge/>
          </w:tcPr>
          <w:p w14:paraId="27902C05" w14:textId="77777777" w:rsidR="00C23FD2" w:rsidRDefault="00C23FD2" w:rsidP="00D071A6"/>
        </w:tc>
        <w:tc>
          <w:tcPr>
            <w:tcW w:w="1620" w:type="dxa"/>
          </w:tcPr>
          <w:p w14:paraId="60F58997" w14:textId="77777777" w:rsidR="00C23FD2" w:rsidRDefault="00C23FD2" w:rsidP="00D071A6"/>
          <w:p w14:paraId="46AC5486" w14:textId="77777777" w:rsidR="00C23FD2" w:rsidRDefault="00C23FD2" w:rsidP="00D071A6"/>
          <w:p w14:paraId="5C337D62" w14:textId="77777777" w:rsidR="00C23FD2" w:rsidRDefault="00C23FD2" w:rsidP="00D071A6"/>
        </w:tc>
        <w:tc>
          <w:tcPr>
            <w:tcW w:w="810" w:type="dxa"/>
          </w:tcPr>
          <w:p w14:paraId="3E5DF73D" w14:textId="77777777" w:rsidR="00C23FD2" w:rsidRDefault="00C23FD2" w:rsidP="00D071A6"/>
        </w:tc>
        <w:tc>
          <w:tcPr>
            <w:tcW w:w="720" w:type="dxa"/>
          </w:tcPr>
          <w:p w14:paraId="35E2A272" w14:textId="77777777" w:rsidR="00C23FD2" w:rsidRDefault="00C23FD2" w:rsidP="00D071A6"/>
        </w:tc>
        <w:tc>
          <w:tcPr>
            <w:tcW w:w="810" w:type="dxa"/>
          </w:tcPr>
          <w:p w14:paraId="527ECD99" w14:textId="77777777" w:rsidR="00C23FD2" w:rsidRDefault="00C23FD2" w:rsidP="00D071A6"/>
        </w:tc>
        <w:tc>
          <w:tcPr>
            <w:tcW w:w="804" w:type="dxa"/>
          </w:tcPr>
          <w:p w14:paraId="65A24CC8" w14:textId="77777777" w:rsidR="00C23FD2" w:rsidRDefault="00C23FD2" w:rsidP="00D071A6"/>
        </w:tc>
        <w:tc>
          <w:tcPr>
            <w:tcW w:w="973" w:type="dxa"/>
          </w:tcPr>
          <w:p w14:paraId="1E688B92" w14:textId="77777777" w:rsidR="00C23FD2" w:rsidRDefault="00C23FD2" w:rsidP="00D071A6"/>
        </w:tc>
      </w:tr>
    </w:tbl>
    <w:p w14:paraId="4157B17F" w14:textId="5C411E6A" w:rsidR="00397DDF" w:rsidRDefault="00397DDF" w:rsidP="00967032">
      <w:pPr>
        <w:pStyle w:val="Standard"/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0FED4EE3" w14:textId="4E1A9591" w:rsidR="00C026F4" w:rsidRDefault="00E0157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Assessment Target 1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1DF80C12" w14:textId="09F4B9E9" w:rsidR="00C026F4" w:rsidRDefault="00E0157D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C23FD2" w:rsidRPr="00C23FD2">
        <w:t>i</w:t>
      </w:r>
      <w:r w:rsidR="00C23FD2" w:rsidRPr="00C23FD2">
        <w:rPr>
          <w:lang w:bidi="ar-SA"/>
        </w:rPr>
        <w:t>nterpret, create a stock bar chart, a stock candlestick chart</w:t>
      </w:r>
      <w:r w:rsidR="00C23FD2">
        <w:rPr>
          <w:lang w:bidi="ar-SA"/>
        </w:rPr>
        <w:t xml:space="preserve"> and write spreadsheet formula</w:t>
      </w:r>
    </w:p>
    <w:p w14:paraId="379EAA98" w14:textId="16255620" w:rsidR="003E0419" w:rsidRDefault="003E0419">
      <w:pPr>
        <w:pStyle w:val="Standard"/>
        <w:spacing w:line="360" w:lineRule="auto"/>
        <w:rPr>
          <w:bCs/>
        </w:rPr>
      </w:pPr>
    </w:p>
    <w:p w14:paraId="3165B53C" w14:textId="2C58E35E" w:rsidR="00C23FD2" w:rsidRDefault="00C23FD2">
      <w:pPr>
        <w:pStyle w:val="Standard"/>
        <w:spacing w:line="360" w:lineRule="auto"/>
        <w:rPr>
          <w:bCs/>
        </w:rPr>
      </w:pPr>
      <w:r w:rsidRPr="00C23FD2">
        <w:rPr>
          <w:bCs/>
          <w:noProof/>
        </w:rPr>
        <w:drawing>
          <wp:inline distT="0" distB="0" distL="0" distR="0" wp14:anchorId="030757D2" wp14:editId="77023FDC">
            <wp:extent cx="3959980" cy="16573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009" cy="166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5E25" w14:textId="5EDBE8B5" w:rsidR="00C23FD2" w:rsidRDefault="00C23FD2">
      <w:pPr>
        <w:pStyle w:val="Standard"/>
        <w:spacing w:line="360" w:lineRule="auto"/>
        <w:rPr>
          <w:bCs/>
        </w:rPr>
      </w:pPr>
    </w:p>
    <w:p w14:paraId="357B4245" w14:textId="54AA14BA" w:rsidR="00C23FD2" w:rsidRDefault="00C23FD2">
      <w:pPr>
        <w:pStyle w:val="Standard"/>
        <w:spacing w:line="360" w:lineRule="auto"/>
        <w:rPr>
          <w:bCs/>
        </w:rPr>
      </w:pPr>
    </w:p>
    <w:p w14:paraId="1BE9FE3C" w14:textId="73B70983" w:rsidR="00C23FD2" w:rsidRDefault="00C23FD2">
      <w:pPr>
        <w:pStyle w:val="Standard"/>
        <w:spacing w:line="360" w:lineRule="auto"/>
        <w:rPr>
          <w:bCs/>
        </w:rPr>
      </w:pPr>
      <w:r w:rsidRPr="00C23FD2">
        <w:rPr>
          <w:bCs/>
          <w:noProof/>
        </w:rPr>
        <w:lastRenderedPageBreak/>
        <w:drawing>
          <wp:inline distT="0" distB="0" distL="0" distR="0" wp14:anchorId="11DAB17C" wp14:editId="61D2EC10">
            <wp:extent cx="3513573" cy="1504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26" cy="1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D347" w14:textId="4AEC1510" w:rsidR="00C23FD2" w:rsidRDefault="00244986">
      <w:pPr>
        <w:pStyle w:val="Standard"/>
        <w:spacing w:line="360" w:lineRule="auto"/>
        <w:rPr>
          <w:bCs/>
        </w:rPr>
      </w:pPr>
      <w:r>
        <w:rPr>
          <w:bCs/>
        </w:rPr>
        <w:t>Base on the chart, create</w:t>
      </w:r>
      <w:r w:rsidR="00C23FD2">
        <w:rPr>
          <w:bCs/>
        </w:rPr>
        <w:t xml:space="preserve"> a spreadsheet data for at least 5-day of your favorite stock</w:t>
      </w:r>
    </w:p>
    <w:p w14:paraId="1F459735" w14:textId="5C93306D" w:rsidR="00244986" w:rsidRDefault="00AB6E89">
      <w:pPr>
        <w:pStyle w:val="Standard"/>
        <w:spacing w:line="360" w:lineRule="auto"/>
        <w:rPr>
          <w:bCs/>
        </w:rPr>
      </w:pPr>
      <w:hyperlink r:id="rId18" w:history="1">
        <w:r w:rsidR="00244986">
          <w:rPr>
            <w:rStyle w:val="Hyperlink"/>
          </w:rPr>
          <w:t>https://www.barchart.com/stocks/quotes/AMZN/interactive-chart</w:t>
        </w:r>
      </w:hyperlink>
    </w:p>
    <w:p w14:paraId="5DF0E598" w14:textId="73FD9D5F" w:rsidR="00244986" w:rsidRDefault="00244986">
      <w:pPr>
        <w:pStyle w:val="Standard"/>
        <w:spacing w:line="360" w:lineRule="auto"/>
        <w:rPr>
          <w:bCs/>
        </w:rPr>
      </w:pPr>
      <w:r>
        <w:rPr>
          <w:bCs/>
        </w:rPr>
        <w:t xml:space="preserve">Or use the one </w:t>
      </w:r>
      <w:proofErr w:type="gramStart"/>
      <w:r>
        <w:rPr>
          <w:bCs/>
        </w:rPr>
        <w:t>below  Show</w:t>
      </w:r>
      <w:proofErr w:type="gramEnd"/>
      <w:r>
        <w:rPr>
          <w:bCs/>
        </w:rPr>
        <w:t xml:space="preserve"> me for stamp </w:t>
      </w:r>
    </w:p>
    <w:p w14:paraId="5E091A0E" w14:textId="4DECC091" w:rsidR="00244986" w:rsidRDefault="00244986">
      <w:pPr>
        <w:pStyle w:val="Standard"/>
        <w:spacing w:line="360" w:lineRule="auto"/>
        <w:rPr>
          <w:bCs/>
        </w:rPr>
      </w:pPr>
      <w:r>
        <w:rPr>
          <w:bCs/>
          <w:noProof/>
        </w:rPr>
        <w:drawing>
          <wp:inline distT="0" distB="0" distL="0" distR="0" wp14:anchorId="0EA4611B" wp14:editId="69D61B4F">
            <wp:extent cx="5895165" cy="3314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MZN_Barchart_Interactive_Chart_06_08_2019 (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712" cy="334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015"/>
        <w:gridCol w:w="1170"/>
        <w:gridCol w:w="1170"/>
        <w:gridCol w:w="1260"/>
        <w:gridCol w:w="1260"/>
        <w:gridCol w:w="1260"/>
        <w:gridCol w:w="1260"/>
      </w:tblGrid>
      <w:tr w:rsidR="00384D22" w:rsidRPr="00C23FD2" w14:paraId="540E5AC8" w14:textId="35DDFE2A" w:rsidTr="00384D22">
        <w:trPr>
          <w:tblHeader/>
        </w:trPr>
        <w:tc>
          <w:tcPr>
            <w:tcW w:w="150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14:paraId="24DB332D" w14:textId="77777777" w:rsidR="00384D22" w:rsidRPr="00384D22" w:rsidRDefault="00384D22" w:rsidP="00384D22">
            <w:r w:rsidRPr="00384D22">
              <w:t>Date</w:t>
            </w:r>
          </w:p>
        </w:tc>
        <w:tc>
          <w:tcPr>
            <w:tcW w:w="101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14:paraId="08470378" w14:textId="77777777" w:rsidR="00384D22" w:rsidRPr="00384D22" w:rsidRDefault="00384D22" w:rsidP="00384D22">
            <w:r w:rsidRPr="00384D22">
              <w:t>Open</w:t>
            </w:r>
          </w:p>
        </w:tc>
        <w:tc>
          <w:tcPr>
            <w:tcW w:w="117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14:paraId="275CB5F6" w14:textId="77777777" w:rsidR="00384D22" w:rsidRPr="00384D22" w:rsidRDefault="00384D22" w:rsidP="00384D22">
            <w:r w:rsidRPr="00384D22">
              <w:t>High</w:t>
            </w:r>
          </w:p>
        </w:tc>
        <w:tc>
          <w:tcPr>
            <w:tcW w:w="117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14:paraId="2ABD6E05" w14:textId="77777777" w:rsidR="00384D22" w:rsidRPr="00384D22" w:rsidRDefault="00384D22" w:rsidP="00384D22">
            <w:r w:rsidRPr="00384D22">
              <w:t>Low</w:t>
            </w:r>
          </w:p>
        </w:tc>
        <w:tc>
          <w:tcPr>
            <w:tcW w:w="126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14:paraId="40326C84" w14:textId="22545B83" w:rsidR="00384D22" w:rsidRPr="00384D22" w:rsidRDefault="00384D22" w:rsidP="00384D22">
            <w:r w:rsidRPr="00384D22">
              <w:t>Close</w:t>
            </w:r>
          </w:p>
        </w:tc>
        <w:tc>
          <w:tcPr>
            <w:tcW w:w="1260" w:type="dxa"/>
            <w:shd w:val="clear" w:color="auto" w:fill="FFFFFF"/>
          </w:tcPr>
          <w:p w14:paraId="61377E1D" w14:textId="24D12210" w:rsidR="00384D22" w:rsidRPr="00384D22" w:rsidRDefault="00384D22" w:rsidP="00384D22">
            <w:r w:rsidRPr="00384D22">
              <w:t>Vol</w:t>
            </w:r>
            <w:r>
              <w:t>u</w:t>
            </w:r>
            <w:r w:rsidRPr="00384D22">
              <w:t>me</w:t>
            </w:r>
          </w:p>
        </w:tc>
        <w:tc>
          <w:tcPr>
            <w:tcW w:w="1260" w:type="dxa"/>
            <w:shd w:val="clear" w:color="auto" w:fill="FFFFFF"/>
          </w:tcPr>
          <w:p w14:paraId="2BE8D089" w14:textId="14F29983" w:rsidR="00384D22" w:rsidRPr="00384D22" w:rsidRDefault="00384D22" w:rsidP="00384D22">
            <w:r>
              <w:t xml:space="preserve"> Change</w:t>
            </w:r>
          </w:p>
        </w:tc>
        <w:tc>
          <w:tcPr>
            <w:tcW w:w="1260" w:type="dxa"/>
            <w:shd w:val="clear" w:color="auto" w:fill="FFFFFF"/>
          </w:tcPr>
          <w:p w14:paraId="206C5452" w14:textId="364E01B6" w:rsidR="00384D22" w:rsidRPr="00384D22" w:rsidRDefault="00384D22" w:rsidP="00384D22">
            <w:r>
              <w:t>% Change</w:t>
            </w:r>
          </w:p>
        </w:tc>
      </w:tr>
      <w:tr w:rsidR="00384D22" w:rsidRPr="00C23FD2" w14:paraId="1EC42C78" w14:textId="76EB9711" w:rsidTr="00244986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5BD9ECC" w14:textId="06833629" w:rsidR="00384D22" w:rsidRPr="00384D22" w:rsidRDefault="00244986" w:rsidP="00384D22">
            <w:r>
              <w:t>May 20</w:t>
            </w:r>
          </w:p>
        </w:tc>
        <w:tc>
          <w:tcPr>
            <w:tcW w:w="101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1681CBE2" w14:textId="443DA6A4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0C77536E" w14:textId="1466BBC1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58C84A86" w14:textId="64470A65" w:rsidR="00384D22" w:rsidRPr="00384D22" w:rsidRDefault="00384D22" w:rsidP="00384D22"/>
        </w:tc>
        <w:tc>
          <w:tcPr>
            <w:tcW w:w="126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16DFCCED" w14:textId="6EFFBEC9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4E8073F9" w14:textId="55E28B1D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718AD2F1" w14:textId="77777777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470F59BE" w14:textId="77777777" w:rsidR="00384D22" w:rsidRPr="00384D22" w:rsidRDefault="00384D22" w:rsidP="00384D22"/>
        </w:tc>
      </w:tr>
      <w:tr w:rsidR="00384D22" w:rsidRPr="00C23FD2" w14:paraId="7E34466A" w14:textId="32F29D86" w:rsidTr="00244986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6EAAC91" w14:textId="26F43AAD" w:rsidR="00384D22" w:rsidRPr="00384D22" w:rsidRDefault="00244986" w:rsidP="00384D22">
            <w:r>
              <w:t>May 21</w:t>
            </w:r>
          </w:p>
        </w:tc>
        <w:tc>
          <w:tcPr>
            <w:tcW w:w="101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53EB20A0" w14:textId="48EE9FB6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7E4F6DD1" w14:textId="31028680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4834E702" w14:textId="7FEC8DA2" w:rsidR="00384D22" w:rsidRPr="00384D22" w:rsidRDefault="00384D22" w:rsidP="00384D22"/>
        </w:tc>
        <w:tc>
          <w:tcPr>
            <w:tcW w:w="126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308F09C6" w14:textId="7862C355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36A19C00" w14:textId="0C2EBF04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167AD2E5" w14:textId="77777777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2091ECCE" w14:textId="77777777" w:rsidR="00384D22" w:rsidRPr="00384D22" w:rsidRDefault="00384D22" w:rsidP="00384D22"/>
        </w:tc>
      </w:tr>
      <w:tr w:rsidR="00384D22" w:rsidRPr="00C23FD2" w14:paraId="0C88ED43" w14:textId="19366D7C" w:rsidTr="00244986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67E5E93" w14:textId="62CA79E7" w:rsidR="00384D22" w:rsidRPr="00384D22" w:rsidRDefault="00244986" w:rsidP="00384D22">
            <w:r>
              <w:t>May 22</w:t>
            </w:r>
          </w:p>
        </w:tc>
        <w:tc>
          <w:tcPr>
            <w:tcW w:w="101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28FEEFDE" w14:textId="4DC7798B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5744CF8B" w14:textId="03361B71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05DAF4AC" w14:textId="3AF92611" w:rsidR="00384D22" w:rsidRPr="00384D22" w:rsidRDefault="00384D22" w:rsidP="00384D22"/>
        </w:tc>
        <w:tc>
          <w:tcPr>
            <w:tcW w:w="126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3BE9108C" w14:textId="7CB80733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71370E1A" w14:textId="0571E056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7AE39E68" w14:textId="77777777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5812EEEF" w14:textId="77777777" w:rsidR="00384D22" w:rsidRPr="00384D22" w:rsidRDefault="00384D22" w:rsidP="00384D22"/>
        </w:tc>
      </w:tr>
      <w:tr w:rsidR="00384D22" w:rsidRPr="00C23FD2" w14:paraId="46CB3C5C" w14:textId="69652C33" w:rsidTr="00244986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C02E739" w14:textId="5D62947E" w:rsidR="00384D22" w:rsidRPr="00384D22" w:rsidRDefault="00244986" w:rsidP="00384D22">
            <w:r>
              <w:t>May 23</w:t>
            </w:r>
          </w:p>
        </w:tc>
        <w:tc>
          <w:tcPr>
            <w:tcW w:w="101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166D6547" w14:textId="6CA9C243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7DD31A19" w14:textId="7EE32FB2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269D31F6" w14:textId="7660E94D" w:rsidR="00384D22" w:rsidRPr="00384D22" w:rsidRDefault="00384D22" w:rsidP="00384D22"/>
        </w:tc>
        <w:tc>
          <w:tcPr>
            <w:tcW w:w="126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77926E06" w14:textId="1464B42D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6ABD84BE" w14:textId="788EABE0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1AD6A971" w14:textId="77777777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695D9783" w14:textId="77777777" w:rsidR="00384D22" w:rsidRPr="00384D22" w:rsidRDefault="00384D22" w:rsidP="00384D22"/>
        </w:tc>
      </w:tr>
      <w:tr w:rsidR="00384D22" w:rsidRPr="00C23FD2" w14:paraId="7196210C" w14:textId="468A6783" w:rsidTr="00244986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DD75F86" w14:textId="64836E21" w:rsidR="00384D22" w:rsidRPr="00384D22" w:rsidRDefault="00244986" w:rsidP="00384D22">
            <w:r>
              <w:t>May 24</w:t>
            </w:r>
          </w:p>
        </w:tc>
        <w:tc>
          <w:tcPr>
            <w:tcW w:w="101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A788A2B" w14:textId="7EF9D41C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0D598272" w14:textId="056E9940" w:rsidR="00384D22" w:rsidRPr="00384D22" w:rsidRDefault="00384D22" w:rsidP="00384D22"/>
        </w:tc>
        <w:tc>
          <w:tcPr>
            <w:tcW w:w="11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3DEDF554" w14:textId="52A7AB97" w:rsidR="00384D22" w:rsidRPr="00384D22" w:rsidRDefault="00384D22" w:rsidP="00384D22"/>
        </w:tc>
        <w:tc>
          <w:tcPr>
            <w:tcW w:w="126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14:paraId="6CE96DE8" w14:textId="1DDD6CE7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5551C7C5" w14:textId="31A18E50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019F1C6E" w14:textId="77777777" w:rsidR="00384D22" w:rsidRPr="00384D22" w:rsidRDefault="00384D22" w:rsidP="00384D22"/>
        </w:tc>
        <w:tc>
          <w:tcPr>
            <w:tcW w:w="1260" w:type="dxa"/>
            <w:shd w:val="clear" w:color="auto" w:fill="FFFFFF"/>
          </w:tcPr>
          <w:p w14:paraId="46B1EE25" w14:textId="77777777" w:rsidR="00384D22" w:rsidRPr="00384D22" w:rsidRDefault="00384D22" w:rsidP="00384D22"/>
        </w:tc>
      </w:tr>
    </w:tbl>
    <w:p w14:paraId="77E2FF33" w14:textId="77777777" w:rsidR="00C23FD2" w:rsidRDefault="00C23FD2">
      <w:pPr>
        <w:pStyle w:val="Standard"/>
        <w:spacing w:line="360" w:lineRule="auto"/>
        <w:rPr>
          <w:bCs/>
        </w:rPr>
      </w:pPr>
    </w:p>
    <w:p w14:paraId="0BF4BFFA" w14:textId="77777777" w:rsidR="00C23FD2" w:rsidRPr="003E0419" w:rsidRDefault="00C23FD2">
      <w:pPr>
        <w:pStyle w:val="Standard"/>
        <w:spacing w:line="360" w:lineRule="auto"/>
        <w:rPr>
          <w:bCs/>
        </w:rPr>
      </w:pPr>
    </w:p>
    <w:sectPr w:rsidR="00C23FD2" w:rsidRPr="003E041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1A45" w14:textId="77777777" w:rsidR="00AB6E89" w:rsidRDefault="00AB6E89">
      <w:r>
        <w:separator/>
      </w:r>
    </w:p>
  </w:endnote>
  <w:endnote w:type="continuationSeparator" w:id="0">
    <w:p w14:paraId="588087F0" w14:textId="77777777" w:rsidR="00AB6E89" w:rsidRDefault="00AB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oneSerifStd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DDF1" w14:textId="77777777" w:rsidR="00AB6E89" w:rsidRDefault="00AB6E89">
      <w:r>
        <w:rPr>
          <w:color w:val="000000"/>
        </w:rPr>
        <w:separator/>
      </w:r>
    </w:p>
  </w:footnote>
  <w:footnote w:type="continuationSeparator" w:id="0">
    <w:p w14:paraId="2C97E481" w14:textId="77777777" w:rsidR="00AB6E89" w:rsidRDefault="00AB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82B9A"/>
    <w:rsid w:val="00107741"/>
    <w:rsid w:val="0022420B"/>
    <w:rsid w:val="00244986"/>
    <w:rsid w:val="0028457C"/>
    <w:rsid w:val="002A0B86"/>
    <w:rsid w:val="002F24D5"/>
    <w:rsid w:val="00337DD0"/>
    <w:rsid w:val="00384D22"/>
    <w:rsid w:val="00397DDF"/>
    <w:rsid w:val="003E0419"/>
    <w:rsid w:val="003E4C99"/>
    <w:rsid w:val="003F6EE8"/>
    <w:rsid w:val="00437A69"/>
    <w:rsid w:val="004C669F"/>
    <w:rsid w:val="004E3971"/>
    <w:rsid w:val="004F6136"/>
    <w:rsid w:val="0050744F"/>
    <w:rsid w:val="006035EB"/>
    <w:rsid w:val="00621012"/>
    <w:rsid w:val="00687A25"/>
    <w:rsid w:val="006D3594"/>
    <w:rsid w:val="008167A9"/>
    <w:rsid w:val="008B372D"/>
    <w:rsid w:val="00967032"/>
    <w:rsid w:val="00AB6E89"/>
    <w:rsid w:val="00B70B0C"/>
    <w:rsid w:val="00BB65FA"/>
    <w:rsid w:val="00BD0E94"/>
    <w:rsid w:val="00C026F4"/>
    <w:rsid w:val="00C23FD2"/>
    <w:rsid w:val="00C96A91"/>
    <w:rsid w:val="00CD5F52"/>
    <w:rsid w:val="00CE5141"/>
    <w:rsid w:val="00E0157D"/>
    <w:rsid w:val="00E533F6"/>
    <w:rsid w:val="00E57C5A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6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zyua5F" TargetMode="External"/><Relationship Id="rId13" Type="http://schemas.openxmlformats.org/officeDocument/2006/relationships/image" Target="media/image5.emf"/><Relationship Id="rId18" Type="http://schemas.openxmlformats.org/officeDocument/2006/relationships/hyperlink" Target="https://www.barchart.com/stocks/quotes/AMZN/interactive-char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hyperlink" Target="http://bit.ly/34cKhEb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 TRINH</cp:lastModifiedBy>
  <cp:revision>9</cp:revision>
  <dcterms:created xsi:type="dcterms:W3CDTF">2019-06-08T15:35:00Z</dcterms:created>
  <dcterms:modified xsi:type="dcterms:W3CDTF">2019-08-31T16:03:00Z</dcterms:modified>
</cp:coreProperties>
</file>